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GOZADORAS CLUB</w:t>
      </w:r>
    </w:p>
    <w:p>
      <w:pPr>
        <w:pStyle w:val="Title"/>
        <w:spacing w:before="0"/>
      </w:pPr>
      <w:r>
        <w:t>MVP Mapa de la Vida Erótica</w:t>
      </w:r>
    </w:p>
    <w:p>
      <w:r>
        <w:rPr>
          <w:b/>
          <w:color w:val="464646"/>
          <w:sz w:val="22"/>
        </w:rPr>
        <w:t>Especificación de Experiencia e Interfaz · Freeze v1.0</w:t>
      </w:r>
    </w:p>
    <w:p>
      <w:r>
        <w:t>FREEZE v1.0 · PARA IMPLEMENTACIÓN Y QA · PASS CON RESERVAS</w:t>
      </w:r>
    </w:p>
    <w:p>
      <w:pPr>
        <w:pStyle w:val="SmallNote"/>
      </w:pPr>
      <w:r>
        <w:t>Fecha de corte: 01/10/2026</w:t>
      </w:r>
    </w:p>
    <w:p>
      <w:pPr>
        <w:pStyle w:val="Heading1"/>
      </w:pPr>
      <w:r>
        <w:t>0. Relación con el Instrumento</w:t>
      </w:r>
    </w:p>
    <w:p>
      <w:r>
        <w:t>Este documento gobierna la experiencia, interacción, composición y criterios de aceptación de interfaz. El documento A —“Instrumento del Mapa de la Vida Erótica · Freeze v1.0”— gobierna preguntas, redacción, opciones, emojis, cardinalidades, estatutos, branches y Gate. Este documento no los duplica salvo cuando una etiqueta exacta sea necesaria para especificar un componente.</w:t>
      </w:r>
    </w:p>
    <w:p>
      <w:pPr>
        <w:pStyle w:val="ListBullet"/>
      </w:pPr>
      <w:r>
        <w:t>Orden de diseño: contenido/significado → interacción → recorrido/ritmo → marca.</w:t>
      </w:r>
    </w:p>
    <w:p>
      <w:pPr>
        <w:pStyle w:val="ListBullet"/>
      </w:pPr>
      <w:r>
        <w:t>Una misma pieza visual no debe utilizarse como solución homogénea para todas las preguntas.</w:t>
      </w:r>
    </w:p>
    <w:p>
      <w:pPr>
        <w:pStyle w:val="ListBullet"/>
      </w:pPr>
      <w:r>
        <w:t>Los activos narrativos o de marca señalados como ACTIVO GOZADORAS PENDIENTE no deben ser sustituidos o reinventados por implementación; su ausencia no impide corregir arquitectura, interacción, vistas, cardinalidad ni recorrido.</w:t>
      </w:r>
    </w:p>
    <w:p>
      <w:pPr>
        <w:pStyle w:val="ListBullet"/>
      </w:pPr>
      <w:r>
        <w:t>Precondición de entrada: la sesión del Mapa comienza una vez creado session_id y resuelto el consentimiento aplicable. Landing/captación y consentimiento de marketing quedan fuera de esta especificación salvo acuerdo separado.</w:t>
      </w:r>
    </w:p>
    <w:p>
      <w:pPr>
        <w:pStyle w:val="SmallNote"/>
      </w:pPr>
      <w:r>
        <w:t>Continuidad de devolución: hasta que se entregue el documento C, siguen vigentes del preliminar del 25/09 la Configuración situada, cinco Destinos ordenados (tres visibles + dos alternativos), resonancia inicial y Puente. A/B no implementan todavía el ranking: el catálogo de 11 Destinos y las reglas señal → ranking son insumos bloqueantes del documento C.</w:t>
      </w:r>
    </w:p>
    <w:p>
      <w:pPr>
        <w:pStyle w:val="Heading1"/>
      </w:pPr>
      <w:r>
        <w:t>1. Portada</w:t>
      </w:r>
    </w:p>
    <w:p>
      <w:pPr>
        <w:spacing w:after="40"/>
      </w:pPr>
      <w:r>
        <w:rPr>
          <w:b/>
          <w:color w:val="464646"/>
        </w:rPr>
        <w:t xml:space="preserve">Marca: </w:t>
      </w:r>
      <w:r>
        <w:t>GOZADORAS CLUB · wordmark vigente; variante horizontal en evaluación, no requisito para la primera corrección técnica</w:t>
      </w:r>
    </w:p>
    <w:p>
      <w:pPr>
        <w:spacing w:after="40"/>
      </w:pPr>
      <w:r>
        <w:rPr>
          <w:b/>
          <w:color w:val="464646"/>
        </w:rPr>
        <w:t xml:space="preserve">Título: </w:t>
      </w:r>
      <w:r>
        <w:t>Mapa de la Vida Erótica</w:t>
      </w:r>
    </w:p>
    <w:p>
      <w:pPr>
        <w:spacing w:after="40"/>
      </w:pPr>
      <w:r>
        <w:rPr>
          <w:b/>
          <w:color w:val="464646"/>
        </w:rPr>
        <w:t xml:space="preserve">Copy aprobado: </w:t>
      </w:r>
      <w:r>
        <w:t>Tu vida erótica no es un territorio fijo. Recorrer este mapa es mirar ese paisaje y descubrir qué empieza a tomar forma desde ahí.</w:t>
      </w:r>
    </w:p>
    <w:p>
      <w:pPr>
        <w:spacing w:after="40"/>
      </w:pPr>
      <w:r>
        <w:rPr>
          <w:b/>
          <w:color w:val="464646"/>
        </w:rPr>
        <w:t xml:space="preserve">Criterio: </w:t>
      </w:r>
      <w:r>
        <w:t>Portada editorial, no formulario. Evitar “Pregunta X/N” y cualquier apariencia de test clínico.</w:t>
      </w:r>
    </w:p>
    <w:p>
      <w:pPr>
        <w:pStyle w:val="Heading2"/>
      </w:pPr>
      <w:r>
        <w:t>1.1 PRE01 · Antes de recorrer tu Mapa</w:t>
      </w:r>
    </w:p>
    <w:p>
      <w:pPr/>
      <w:r>
        <w:t>Ubicación: inmediatamente después de la portada y antes de CTX/Mirador. Renderizar el copy exacto definido en el documento A. El anclaje “últimas 4 semanas” aparece aquí una sola vez y no se repite en cada pregunta.</w:t>
      </w:r>
    </w:p>
    <w:p>
      <w:pPr>
        <w:pStyle w:val="Heading2"/>
      </w:pPr>
      <w:r>
        <w:t>1.2 CTX · Para situar tu Mapa</w:t>
      </w:r>
    </w:p>
    <w:p>
      <w:pPr/>
      <w:r>
        <w:t>Ubicación: después de PRE01 y antes de la lámina MIRADOR. Implementar CTX00–CTX05 según A. Los CTX son metadatos de contexto, no preguntas Pxx, no participan del Gate y no alteran por sí solos Configuración/Destinos.</w:t>
      </w:r>
    </w:p>
    <w:p>
      <w:pPr>
        <w:pStyle w:val="SmallNote"/>
      </w:pPr>
      <w:r>
        <w:t>Flujo de entrada v1: PORTADA → PRE01 → CTX → MIRADOR → P01. El MVP asume que las sesiones que alcanzan P01 corresponden a mujeres actualmente en pareja; por eso P13–P18 no incluyen “No tengo pareja / No aplica”.</w:t>
      </w:r>
    </w:p>
    <w:p>
      <w:pPr>
        <w:pStyle w:val="Heading1"/>
      </w:pPr>
      <w:r>
        <w:t>2. Láminas de transición de paisaje</w:t>
      </w:r>
    </w:p>
    <w:p>
      <w:pPr>
        <w:pStyle w:val="SmallNote"/>
      </w:pPr>
      <w:r>
        <w:t>Nomenclatura canónica v1: MIRADOR · MANANTIAL · SENDERO · CLIMA · HORIZONTE. Sustituye las referencias anteriores del Encargo 28/09 donde el bloque P13–P18 aparecía como “Clima” y P19–P21 como “Suelo”.</w:t>
      </w:r>
    </w:p>
    <w:p>
      <w:r>
        <w:t>Las cinco láminas son pantallas de transición visibles. Aparecen antes de la primera pregunta del rango indicado. Solo muestran nombre del paisaje + copy narrativo. La pregunta backstage no es visible. P25–P40 no abren un sexto paisaje.</w:t>
      </w:r>
    </w:p>
    <w:p>
      <w:r>
        <w:rPr>
          <w:b/>
          <w:color w:val="5C2635"/>
        </w:rPr>
        <w:t>MIRADOR · antes de P01</w:t>
      </w:r>
    </w:p>
    <w:p>
      <w:r>
        <w:t>Todo mapa comienza con una mirada. Antes de avanzar, observa desde dónde estás mirando.</w:t>
      </w:r>
    </w:p>
    <w:p>
      <w:pPr>
        <w:pStyle w:val="SmallNote"/>
      </w:pPr>
      <w:r>
        <w:t>Backstage (no visible): ¿Dónde estoy ahora?</w:t>
      </w:r>
    </w:p>
    <w:p>
      <w:r>
        <w:rPr>
          <w:b/>
          <w:color w:val="5C2635"/>
        </w:rPr>
        <w:t>MANANTIAL · antes de P06</w:t>
      </w:r>
    </w:p>
    <w:p>
      <w:r>
        <w:t>Bajo la superficie, el agua está en movimiento. El cauce aparece cuando encuentra su rumbo.</w:t>
      </w:r>
    </w:p>
    <w:p>
      <w:pPr>
        <w:pStyle w:val="SmallNote"/>
      </w:pPr>
      <w:r>
        <w:t>Backstage (no visible): ¿Qué me está pasando?</w:t>
      </w:r>
    </w:p>
    <w:p>
      <w:r>
        <w:rPr>
          <w:b/>
          <w:color w:val="5C2635"/>
        </w:rPr>
        <w:t>SENDERO · antes de P13</w:t>
      </w:r>
    </w:p>
    <w:p>
      <w:r>
        <w:t>Compartir camino cambia el paso. Entre dos, la intimidad tiene su propia geografía.</w:t>
      </w:r>
    </w:p>
    <w:p>
      <w:pPr>
        <w:pStyle w:val="SmallNote"/>
      </w:pPr>
      <w:r>
        <w:t>Backstage (no visible): ¿Cómo me siento con mi pareja?</w:t>
      </w:r>
    </w:p>
    <w:p>
      <w:r>
        <w:rPr>
          <w:b/>
          <w:color w:val="5C2635"/>
        </w:rPr>
        <w:t>CLIMA · antes de P19</w:t>
      </w:r>
    </w:p>
    <w:p>
      <w:r>
        <w:t>Lo cotidiano se filtra en lo íntimo. Algunos días dejan aire; otros piden espacio.</w:t>
      </w:r>
    </w:p>
    <w:p>
      <w:pPr>
        <w:pStyle w:val="SmallNote"/>
      </w:pPr>
      <w:r>
        <w:t>Backstage (no visible): ¿Con qué condiciones cuento?</w:t>
      </w:r>
    </w:p>
    <w:p>
      <w:r>
        <w:rPr>
          <w:b/>
          <w:color w:val="5C2635"/>
        </w:rPr>
        <w:t>HORIZONTE · antes de P22</w:t>
      </w:r>
    </w:p>
    <w:p>
      <w:r>
        <w:t>Una dirección puede hacerse visible antes de tener nombre. El horizonte empieza justo ahí.</w:t>
      </w:r>
    </w:p>
    <w:p>
      <w:pPr>
        <w:pStyle w:val="SmallNote"/>
      </w:pPr>
      <w:r>
        <w:t>Backstage (no visible): ¿Hacia dónde quiero ir?</w:t>
      </w:r>
    </w:p>
    <w:p>
      <w:pPr>
        <w:pStyle w:val="Heading1"/>
      </w:pPr>
      <w:r>
        <w:t>3. Glosario de componentes</w:t>
      </w:r>
    </w:p>
    <w:p>
      <w:r>
        <w:rPr>
          <w:b/>
        </w:rPr>
        <w:t xml:space="preserve">Tarjeta de opción: </w:t>
      </w:r>
      <w:r>
        <w:t>Control táctil de tamaño suficiente para texto y, cuando el Instrumento lo indique, emoji. Puede ser selección única o múltiple; cardinalidad según documento A.</w:t>
      </w:r>
    </w:p>
    <w:p>
      <w:r>
        <w:rPr>
          <w:b/>
        </w:rPr>
        <w:t xml:space="preserve">Gradiente de 5 puntos: </w:t>
      </w:r>
      <w:r>
        <w:t>Cinco posiciones equidistantes en una línea/continuo. Cada posición mapea exactamente a una categoría verbal. Estados fuera del eje aparecen debajo, físicamente separados.</w:t>
      </w:r>
    </w:p>
    <w:p>
      <w:r>
        <w:rPr>
          <w:b/>
        </w:rPr>
        <w:t xml:space="preserve">Campo de texto: </w:t>
      </w:r>
      <w:r>
        <w:t>Caja de texto breve o amplia según el Instrumento. Placeholder neutro: “Escribe aquí…”.</w:t>
      </w:r>
    </w:p>
    <w:p>
      <w:r>
        <w:rPr>
          <w:b/>
        </w:rPr>
        <w:t xml:space="preserve">Par comparativo: </w:t>
      </w:r>
      <w:r>
        <w:t>Dos preguntas consecutivas con la misma composición/control para facilitar comparación perceptiva sin mostrar la respuesta anterior.</w:t>
      </w:r>
    </w:p>
    <w:p>
      <w:r>
        <w:rPr>
          <w:b/>
        </w:rPr>
        <w:t xml:space="preserve">Transición de paisaje: </w:t>
      </w:r>
      <w:r>
        <w:t>Pantalla con nombre + copy aprobado. No contiene controles de respuesta.</w:t>
      </w:r>
    </w:p>
    <w:p>
      <w:r>
        <w:rPr>
          <w:b/>
        </w:rPr>
        <w:t xml:space="preserve">Microdespliegue condicional: </w:t>
      </w:r>
      <w:r>
        <w:t>Información adicional dentro de la misma pregunta; no crea un nuevo ID Pxx.</w:t>
      </w:r>
    </w:p>
    <w:p>
      <w:r>
        <w:rPr>
          <w:b/>
        </w:rPr>
        <w:t xml:space="preserve">Secuencia de vistas: </w:t>
      </w:r>
      <w:r>
        <w:t>Una misma pregunta distribuida en varias vistas. El enunciado permanece fijo, las selecciones persisten y el contador refleja el máximo total.</w:t>
      </w:r>
    </w:p>
    <w:p>
      <w:r>
        <w:rPr>
          <w:b/>
        </w:rPr>
        <w:t xml:space="preserve">Mapa corporal: </w:t>
      </w:r>
      <w:r>
        <w:t>Silueta propia GOZADORAS con zonas/puntos seleccionables y etiqueta al tocar. Sin submapa anatómico genital.</w:t>
      </w:r>
    </w:p>
    <w:p>
      <w:pPr>
        <w:pStyle w:val="Heading1"/>
      </w:pPr>
      <w:r>
        <w:t>4. Navegación, progreso y estados</w:t>
      </w:r>
    </w:p>
    <w:p>
      <w:pPr>
        <w:pStyle w:val="ListBullet"/>
      </w:pPr>
      <w:r>
        <w:t>No mostrar “Pregunta X / 40” porque el recorrido es adaptativo. El progreso visible se expresa por paisaje: Mirador → Manantial → Sendero → Clima → Horizonte. Dentro de un paisaje no mostrar porcentaje de preguntas. Durante P25–P40 mantener Horizonte como paisaje activo y señalar solo un subestado discreto de profundización, sin crear un sexto paisaje.</w:t>
      </w:r>
    </w:p>
    <w:p>
      <w:pPr>
        <w:pStyle w:val="ListBullet"/>
      </w:pPr>
      <w:r>
        <w:t>Atrás disponible mientras IN_PROGRESS; las selecciones persisten al navegar entre vistas de la misma pregunta.</w:t>
      </w:r>
    </w:p>
    <w:p>
      <w:pPr>
        <w:pStyle w:val="ListBullet"/>
      </w:pPr>
      <w:r>
        <w:t>Continuar se habilita con la cardinalidad mínima canónica: selección única = 1 respuesta válida; selección múltiple = mínimo 1 y respetar el máximo; P11 = mínimo 1 zona o un estado externo; texto requerido = no vacío; pregunta omisible = también puede avanzar mediante “Omitir por ahora”. Estados excluyentes sustituyen respuestas sustantivas.</w:t>
      </w:r>
    </w:p>
    <w:p>
      <w:pPr>
        <w:pStyle w:val="ListBullet"/>
      </w:pPr>
      <w:r>
        <w:t>“Omitir por ahora” solo aparece en las preguntas omisibles definidas en A.</w:t>
      </w:r>
    </w:p>
    <w:p>
      <w:pPr>
        <w:pStyle w:val="ListBullet"/>
      </w:pPr>
      <w:r>
        <w:t>“Prefiero no responder” se presenta como alternativa cuando A la contempla; no se trata como navegación.</w:t>
      </w:r>
    </w:p>
    <w:p>
      <w:pPr>
        <w:pStyle w:val="ListBullet"/>
      </w:pPr>
      <w:r>
        <w:t>“No mostrada” es estado backend, nunca un elemento de interfaz.</w:t>
      </w:r>
    </w:p>
    <w:p>
      <w:pPr>
        <w:pStyle w:val="ListBullet"/>
      </w:pPr>
      <w:r>
        <w:t>Guardar de forma persistente al confirmar cada pregunta o vista estable. Un refresh/cierre accidental no debe borrar respuestas ya confirmadas.</w:t>
      </w:r>
    </w:p>
    <w:p>
      <w:pPr>
        <w:pStyle w:val="ListBullet"/>
      </w:pPr>
      <w:r>
        <w:t>Al reingresar a una session_id IN_PROGRESS, recuperar respuestas y volver al último punto estable del recorrido; no crear una sesión paralela por refresh.</w:t>
      </w:r>
    </w:p>
    <w:p>
      <w:pPr>
        <w:pStyle w:val="ListBullet"/>
      </w:pPr>
      <w:r>
        <w:t>Una session_id COMPLETE se abre en modo lectura para respuestas/resultado; no reabre edición del snapshot.</w:t>
      </w:r>
    </w:p>
    <w:p>
      <w:pPr>
        <w:pStyle w:val="Heading1"/>
      </w:pPr>
      <w:r>
        <w:t>5. Preguntas con múltiples vistas</w:t>
      </w:r>
    </w:p>
    <w:p>
      <w:r>
        <w:t>Las agrupaciones, textos y emojis están en A y deben implementarse literalmente; no sustituir símbolos ni copy por decisión de interfaz. Aquí se gobierna el comportamiento común:</w:t>
      </w:r>
    </w:p>
    <w:p>
      <w:pPr>
        <w:pStyle w:val="ListBullet"/>
      </w:pPr>
      <w:r>
        <w:t>No desplegar listas extensas en una sola pantalla.</w:t>
      </w:r>
    </w:p>
    <w:p>
      <w:pPr>
        <w:pStyle w:val="ListBullet"/>
      </w:pPr>
      <w:r>
        <w:t>Una pregunta conserva un único question_id a través de todas sus vistas.</w:t>
      </w:r>
    </w:p>
    <w:p>
      <w:pPr>
        <w:pStyle w:val="ListBullet"/>
      </w:pPr>
      <w:r>
        <w:t>Enunciado fijo o reiterado en forma consistente; selección persiste.</w:t>
      </w:r>
    </w:p>
    <w:p>
      <w:pPr>
        <w:pStyle w:val="ListBullet"/>
      </w:pPr>
      <w:r>
        <w:t>Mostrar contador cuando exista máximo: “Elegidas X de N”.</w:t>
      </w:r>
    </w:p>
    <w:p>
      <w:pPr>
        <w:pStyle w:val="ListBullet"/>
      </w:pPr>
      <w:r>
        <w:t>Permitir volver a una vista anterior antes de continuar.</w:t>
      </w:r>
    </w:p>
    <w:p>
      <w:pPr>
        <w:pStyle w:val="ListBullet"/>
      </w:pPr>
      <w:r>
        <w:t>Al final, cuando aporte claridad, mostrar una revisión breve de opciones seleccionadas.</w:t>
      </w:r>
    </w:p>
    <w:p>
      <w:pPr>
        <w:pStyle w:val="ListBullet"/>
      </w:pPr>
      <w:r>
        <w:t>No revelar una opción por animación automática ni obligar a elegir una por vista.</w:t>
      </w:r>
    </w:p>
    <w:p>
      <w:pPr>
        <w:pStyle w:val="ListBullet"/>
      </w:pPr>
      <w:r>
        <w:t>Los nombres “Vista 1 · …”, “Vista 2 · …” del documento A son etiquetas estructurales/backstage. No mostrarlos por defecto a la usuaria. Si más adelante GOZADORAS aprueba subtítulos visibles, se incorporan sin cambiar question_id ni opciones.</w:t>
      </w:r>
    </w:p>
    <w:p>
      <w:pPr>
        <w:spacing w:after="40"/>
      </w:pPr>
      <w:r>
        <w:rPr>
          <w:b/>
          <w:color w:val="464646"/>
        </w:rPr>
        <w:t xml:space="preserve">Aplican: </w:t>
      </w:r>
      <w:r>
        <w:t>P03, P07, P20, P22 y P24; P01 puede usar baraja/carrusel de reconocimiento en vez de vistas por grupos.</w:t>
      </w:r>
    </w:p>
    <w:p>
      <w:pPr>
        <w:pStyle w:val="Heading1"/>
      </w:pPr>
      <w:r>
        <w:t>6. Especificaciones visuales por patrón</w:t>
      </w:r>
    </w:p>
    <w:p>
      <w:pPr>
        <w:pStyle w:val="Heading2"/>
      </w:pPr>
      <w:r>
        <w:t>6.1 P01 · Baraja/carrusel de reconocimiento</w:t>
      </w:r>
    </w:p>
    <w:p>
      <w:pPr>
        <w:pStyle w:val="ListBullet"/>
      </w:pPr>
      <w:r>
        <w:t>Una tarjeta grande por vez, con indicio visual de la siguiente.</w:t>
      </w:r>
    </w:p>
    <w:p>
      <w:pPr>
        <w:pStyle w:val="ListBullet"/>
      </w:pPr>
      <w:r>
        <w:t>La usuaria debe poder recorrer todas antes de cerrar la pregunta.</w:t>
      </w:r>
    </w:p>
    <w:p>
      <w:pPr>
        <w:pStyle w:val="ListBullet"/>
      </w:pPr>
      <w:r>
        <w:t>Persistir selección; máximo 2; mostrar contador.</w:t>
      </w:r>
    </w:p>
    <w:p>
      <w:pPr>
        <w:pStyle w:val="ListBullet"/>
      </w:pPr>
      <w:r>
        <w:t>Final de la secuencia: revisión de seleccionadas antes de Continuar.</w:t>
      </w:r>
    </w:p>
    <w:p>
      <w:pPr>
        <w:pStyle w:val="ListBullet"/>
      </w:pPr>
      <w:r>
        <w:t>No convertir cada tarjeta en una pantalla independiente irreversible.</w:t>
      </w:r>
    </w:p>
    <w:p>
      <w:pPr>
        <w:pStyle w:val="Heading2"/>
      </w:pPr>
      <w:r>
        <w:t>6.2 P02 · Gradiente espacial</w:t>
      </w:r>
    </w:p>
    <w:p>
      <w:pPr>
        <w:pStyle w:val="ListBullet"/>
      </w:pPr>
      <w:r>
        <w:t>Cinco puntos equidistantes: Muy cerca / Bastante cerca / Más o menos / Bastante lejos / Muy lejos.</w:t>
      </w:r>
    </w:p>
    <w:p>
      <w:pPr>
        <w:pStyle w:val="ListBullet"/>
      </w:pPr>
      <w:r>
        <w:t>“Estoy bien tal como está” y “No sé” aparecen debajo como tarjetas separadas; no son puntos 6 y 7.</w:t>
      </w:r>
    </w:p>
    <w:p>
      <w:pPr>
        <w:pStyle w:val="Heading2"/>
      </w:pPr>
      <w:r>
        <w:t>6.3 P08–P09 · Secuencia temporal</w:t>
      </w:r>
    </w:p>
    <w:p>
      <w:pPr>
        <w:pStyle w:val="ListBullet"/>
      </w:pPr>
      <w:r>
        <w:t>Mismo activo narrativo en ambas preguntas: secuencia temporal orgánica, ligeramente sinuosa, con dos hitos.</w:t>
      </w:r>
    </w:p>
    <w:p>
      <w:pPr>
        <w:pStyle w:val="ListBullet"/>
      </w:pPr>
      <w:r>
        <w:t>P08 destaca hito “ANTES DE EMPEZAR”; P09 destaca hito “CUANDO YA EMPEZÓ”.</w:t>
      </w:r>
    </w:p>
    <w:p>
      <w:pPr>
        <w:pStyle w:val="ListBullet"/>
      </w:pPr>
      <w:r>
        <w:t>La secuencia temporal sitúa el momento temporal; no reemplaza la escala de respuesta.</w:t>
      </w:r>
    </w:p>
    <w:p>
      <w:pPr>
        <w:pStyle w:val="ListBullet"/>
      </w:pPr>
      <w:r>
        <w:t>Debajo de la secuencia temporal, P08 usa gradiente de frecuencia de cinco puntos. P09 usa gradiente de cinco puntos y estados externos debajo.</w:t>
      </w:r>
    </w:p>
    <w:p>
      <w:pPr>
        <w:pStyle w:val="ListBullet"/>
      </w:pPr>
      <w:r>
        <w:t>ACTIVO GOZADORAS PENDIENTE: SVG de la secuencia temporal con estados normal/activo. No diseñar una versión definitiva por cuenta propia.</w:t>
      </w:r>
    </w:p>
    <w:p>
      <w:pPr>
        <w:pStyle w:val="SmallNote"/>
      </w:pPr>
      <w:r>
        <w:t>RESERVA QA P08: v1.0 mantiene su escala actual sin estado “sin encuentros recientes”. Observar en Group 0 la asimetría con P09/P10; cualquier estado nuevo se incorpora solo en v1.1 con IDs/reglas versionados.</w:t>
      </w:r>
    </w:p>
    <w:p>
      <w:pPr>
        <w:pStyle w:val="Heading2"/>
      </w:pPr>
      <w:r>
        <w:t>6.4 P11 · Mapa corporal</w:t>
      </w:r>
    </w:p>
    <w:p>
      <w:pPr>
        <w:pStyle w:val="ListBullet"/>
      </w:pPr>
      <w:r>
        <w:t>Una sola silueta frontal, adulta, sobria, no clínica, no caricaturesca, sin rostro expresivo.</w:t>
      </w:r>
    </w:p>
    <w:p>
      <w:pPr>
        <w:pStyle w:val="ListBullet"/>
      </w:pPr>
      <w:r>
        <w:t>Zonas/puntos tocables con nombre visible al seleccionar. Las zonas exactas e IDs se rigen por A.</w:t>
      </w:r>
    </w:p>
    <w:p>
      <w:pPr>
        <w:pStyle w:val="ListBullet"/>
      </w:pPr>
      <w:r>
        <w:t>Selección múltiple sin máximo. Seleccionar/deseleccionar debe ser reversible.</w:t>
      </w:r>
    </w:p>
    <w:p>
      <w:pPr>
        <w:pStyle w:val="ListBullet"/>
      </w:pPr>
      <w:r>
        <w:t>Los estados externos aparecen fuera de la figura y son excluyentes.</w:t>
      </w:r>
    </w:p>
    <w:p>
      <w:pPr>
        <w:pStyle w:val="ListBullet"/>
      </w:pPr>
      <w:r>
        <w:t>ACTIVO GOZADORAS PENDIENTE: silueta final. No reutilizar el cuerpo de Cami (“Tortuga Ninja”), no generar vista posterior ni submapa pélvico.</w:t>
      </w:r>
    </w:p>
    <w:p>
      <w:pPr>
        <w:pStyle w:val="Heading2"/>
      </w:pPr>
      <w:r>
        <w:t>6.5 P13–P14 · Distancia entre dos</w:t>
      </w:r>
    </w:p>
    <w:p>
      <w:pPr>
        <w:pStyle w:val="ListBullet"/>
      </w:pPr>
      <w:r>
        <w:t>Misma composición para ambas preguntas; cinco configuraciones visuales de dos puntos/círculos que se separan progresivamente.</w:t>
      </w:r>
    </w:p>
    <w:p>
      <w:pPr>
        <w:pStyle w:val="ListBullet"/>
      </w:pPr>
      <w:r>
        <w:t>Muy cerca: puntos prácticamente juntos. Bastante cerca: separación corta. Ni cerca ni distante: media. Bastante distante: amplia. Muy distante: máxima.</w:t>
      </w:r>
    </w:p>
    <w:p>
      <w:pPr>
        <w:pStyle w:val="ListBullet"/>
      </w:pPr>
      <w:r>
        <w:t>P13 rotula el foco “Afectivamente”; P14 “Eróticamente”.</w:t>
      </w:r>
    </w:p>
    <w:p>
      <w:pPr>
        <w:pStyle w:val="ListBullet"/>
      </w:pPr>
      <w:r>
        <w:t>Los estados Depende / No lo tengo claro / No me importa aparecen debajo. P14 no muestra la respuesta elegida en P13.</w:t>
      </w:r>
    </w:p>
    <w:p>
      <w:pPr>
        <w:pStyle w:val="Heading2"/>
      </w:pPr>
      <w:r>
        <w:t>6.6 P19 · Atmósfera de Clima</w:t>
      </w:r>
    </w:p>
    <w:p>
      <w:r>
        <w:t>Detrás del gradiente bipolar existe un campo gráfico de cinco zonas iguales. Cada zona usa el mismo motivo orgánico abstracto, mismo color, misma opacidad, mismo grosor y misma altura media. Solo cambia la densidad visual: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EDE7E9"/>
          </w:tcPr>
          <w:p>
            <w:r>
              <w:t>Punto</w:t>
            </w:r>
          </w:p>
        </w:tc>
        <w:tc>
          <w:tcPr>
            <w:tcW w:type="dxa" w:w="3362"/>
            <w:shd w:fill="EDE7E9"/>
          </w:tcPr>
          <w:p>
            <w:r>
              <w:t>Respuesta</w:t>
            </w:r>
          </w:p>
        </w:tc>
        <w:tc>
          <w:tcPr>
            <w:tcW w:type="dxa" w:w="3362"/>
            <w:shd w:fill="EDE7E9"/>
          </w:tcPr>
          <w:p>
            <w:r>
              <w:t>Densidad visual objetivo</w:t>
            </w:r>
          </w:p>
        </w:tc>
      </w:tr>
      <w:tr>
        <w:trPr>
          <w:cantSplit/>
        </w:trPr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La favorece mucho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20 %</w:t>
            </w:r>
          </w:p>
        </w:tc>
      </w:tr>
      <w:tr>
        <w:trPr>
          <w:cantSplit/>
        </w:trPr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La favorece algo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35 %</w:t>
            </w:r>
          </w:p>
        </w:tc>
      </w:tr>
      <w:tr>
        <w:trPr>
          <w:cantSplit/>
        </w:trPr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 veces la favorece y a veces la dificulta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50 %</w:t>
            </w:r>
          </w:p>
        </w:tc>
      </w:tr>
      <w:tr>
        <w:trPr>
          <w:cantSplit/>
        </w:trPr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La dificulta algo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65 %</w:t>
            </w:r>
          </w:p>
        </w:tc>
      </w:tr>
      <w:tr>
        <w:trPr>
          <w:cantSplit/>
        </w:trPr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La dificulta mucho</w:t>
            </w:r>
          </w:p>
        </w:tc>
        <w:tc>
          <w:tcPr>
            <w:tcW w:type="dxa" w:w="336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80 %</w:t>
            </w:r>
          </w:p>
        </w:tc>
      </w:tr>
    </w:tbl>
    <w:p>
      <w:pPr>
        <w:pStyle w:val="ListBullet"/>
      </w:pPr>
      <w:r>
        <w:t>Tolerancia aproximada: ±5 %.</w:t>
      </w:r>
    </w:p>
    <w:p>
      <w:pPr>
        <w:pStyle w:val="ListBullet"/>
      </w:pPr>
      <w:r>
        <w:t>20 % = aproximadamente una quinta parte del área ocupada por trazos/motivos; 80 % = aproximadamente cuatro quintas partes.</w:t>
      </w:r>
    </w:p>
    <w:p>
      <w:pPr>
        <w:pStyle w:val="ListBullet"/>
      </w:pPr>
      <w:r>
        <w:t>No cambiar color, oscuridad, grosor, luminosidad ni usar sol/nubes/tormenta.</w:t>
      </w:r>
    </w:p>
    <w:p>
      <w:pPr>
        <w:pStyle w:val="ListBullet"/>
      </w:pPr>
      <w:r>
        <w:t>El campo completo se ve antes de responder. Al seleccionar, solo se destaca el punto y su etiqueta; el fondo no se anima ni se reconfigura.</w:t>
      </w:r>
    </w:p>
    <w:p>
      <w:pPr/>
      <w:r>
        <w:t>La densidad atmosférica nunca sustituye el lenguaje. Mostrar siempre el copy verbal exacto del documento A para cada una de las cinco posiciones de P19: “La favorece mucho” · “La favorece algo” · “A veces la favorece y a veces la dificulta” · “La dificulta algo” · “La dificulta mucho”.</w:t>
      </w:r>
    </w:p>
    <w:p>
      <w:pPr>
        <w:pStyle w:val="Heading1"/>
      </w:pPr>
      <w:r>
        <w:t>7. Mapeo componente por pregunta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EDE7E9"/>
          </w:tcPr>
          <w:p>
            <w:r>
              <w:t>ID</w:t>
            </w:r>
          </w:p>
        </w:tc>
        <w:tc>
          <w:tcPr>
            <w:tcW w:type="dxa" w:w="5043"/>
            <w:shd w:fill="EDE7E9"/>
          </w:tcPr>
          <w:p>
            <w:r>
              <w:t>Componente / patrón</w:t>
            </w:r>
          </w:p>
        </w:tc>
      </w:tr>
      <w:tr>
        <w:trPr>
          <w:cantSplit/>
        </w:trP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P01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Baraja/carrusel de reconocimiento</w:t>
            </w:r>
          </w:p>
        </w:tc>
      </w:tr>
      <w:tr>
        <w:trPr>
          <w:cantSplit/>
        </w:trP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P02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Gradiente espacial</w:t>
            </w:r>
          </w:p>
        </w:tc>
      </w:tr>
      <w:tr>
        <w:trPr>
          <w:cantSplit/>
        </w:trP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P03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Secuencia de 4 vistas + tarjetas con emoji + microdespliegue Medicamento</w:t>
            </w:r>
          </w:p>
        </w:tc>
      </w:tr>
      <w:tr>
        <w:trPr>
          <w:cantSplit/>
        </w:trP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P04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Tarjetas simples</w:t>
            </w:r>
          </w:p>
        </w:tc>
      </w:tr>
      <w:tr>
        <w:trPr>
          <w:cantSplit/>
        </w:trP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P05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Campo de texto breve</w:t>
            </w:r>
          </w:p>
        </w:tc>
      </w:tr>
      <w:tr>
        <w:trPr>
          <w:cantSplit/>
        </w:trP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P06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Tarjetas simples</w:t>
            </w:r>
          </w:p>
        </w:tc>
      </w:tr>
      <w:tr>
        <w:trPr>
          <w:cantSplit/>
        </w:trP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P07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Secuencia de 3 vistas + tarjetas con emoji</w:t>
            </w:r>
          </w:p>
        </w:tc>
      </w:tr>
      <w:tr>
        <w:trPr>
          <w:cantSplit/>
        </w:trP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P08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Secuencia temporal + gradiente</w:t>
            </w:r>
          </w:p>
        </w:tc>
      </w:tr>
      <w:tr>
        <w:trPr>
          <w:cantSplit/>
        </w:trP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P09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Secuencia temporal + gradiente + estados externos</w:t>
            </w:r>
          </w:p>
        </w:tc>
      </w:tr>
      <w:tr>
        <w:trPr>
          <w:cantSplit/>
        </w:trP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P10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Gradiente + estados externos</w:t>
            </w:r>
          </w:p>
        </w:tc>
      </w:tr>
      <w:tr>
        <w:trPr>
          <w:cantSplit/>
        </w:trP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P11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Mapa corporal</w:t>
            </w:r>
          </w:p>
        </w:tc>
      </w:tr>
      <w:tr>
        <w:trPr>
          <w:cantSplit/>
        </w:trP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P12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Tarjetas múltiples</w:t>
            </w:r>
          </w:p>
        </w:tc>
      </w:tr>
      <w:tr>
        <w:trPr>
          <w:cantSplit/>
        </w:trP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P13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Par comparativo · distancia entre dos</w:t>
            </w:r>
          </w:p>
        </w:tc>
      </w:tr>
      <w:tr>
        <w:trPr>
          <w:cantSplit/>
        </w:trP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P14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Par comparativo · distancia entre dos</w:t>
            </w:r>
          </w:p>
        </w:tc>
      </w:tr>
      <w:tr>
        <w:trPr>
          <w:cantSplit/>
        </w:trP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P15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Gradiente de frecuencia + estados externos</w:t>
            </w:r>
          </w:p>
        </w:tc>
      </w:tr>
      <w:tr>
        <w:trPr>
          <w:cantSplit/>
        </w:trP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P16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Tarjetas sobrias</w:t>
            </w:r>
          </w:p>
        </w:tc>
      </w:tr>
      <w:tr>
        <w:trPr>
          <w:cantSplit/>
        </w:trP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P17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Tarjetas sobrias</w:t>
            </w:r>
          </w:p>
        </w:tc>
      </w:tr>
      <w:tr>
        <w:trPr>
          <w:cantSplit/>
        </w:trP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P18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Tarjetas sobrias</w:t>
            </w:r>
          </w:p>
        </w:tc>
      </w:tr>
      <w:tr>
        <w:trPr>
          <w:cantSplit/>
        </w:trP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P19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Gradiente bipolar + campo de densidad</w:t>
            </w:r>
          </w:p>
        </w:tc>
      </w:tr>
      <w:tr>
        <w:trPr>
          <w:cantSplit/>
        </w:trP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P20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Secuencia de 2 vistas + tarjetas con emoji</w:t>
            </w:r>
          </w:p>
        </w:tc>
      </w:tr>
      <w:tr>
        <w:trPr>
          <w:cantSplit/>
        </w:trP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P21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Gradiente + estado externo</w:t>
            </w:r>
          </w:p>
        </w:tc>
      </w:tr>
      <w:tr>
        <w:trPr>
          <w:cantSplit/>
        </w:trP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P22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Secuencia de 4 vistas + tarjetas con emoji</w:t>
            </w:r>
          </w:p>
        </w:tc>
      </w:tr>
      <w:tr>
        <w:trPr>
          <w:cantSplit/>
        </w:trP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P23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Campo de texto amplio</w:t>
            </w:r>
          </w:p>
        </w:tc>
      </w:tr>
      <w:tr>
        <w:trPr>
          <w:cantSplit/>
        </w:trP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P24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Secuencia de 5 vistas + tarjetas con emoji</w:t>
            </w:r>
          </w:p>
        </w:tc>
      </w:tr>
      <w:tr>
        <w:trPr>
          <w:cantSplit/>
        </w:trP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P25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Tarjetas</w:t>
            </w:r>
          </w:p>
        </w:tc>
      </w:tr>
      <w:tr>
        <w:trPr>
          <w:cantSplit/>
        </w:trP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P26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Gradiente + estado externo</w:t>
            </w:r>
          </w:p>
        </w:tc>
      </w:tr>
      <w:tr>
        <w:trPr>
          <w:cantSplit/>
        </w:trP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P27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Gradiente + estado externo</w:t>
            </w:r>
          </w:p>
        </w:tc>
      </w:tr>
      <w:tr>
        <w:trPr>
          <w:cantSplit/>
        </w:trP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P28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Tarjetas</w:t>
            </w:r>
          </w:p>
        </w:tc>
      </w:tr>
      <w:tr>
        <w:trPr>
          <w:cantSplit/>
        </w:trP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P29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Tarjetas sobrias</w:t>
            </w:r>
          </w:p>
        </w:tc>
      </w:tr>
      <w:tr>
        <w:trPr>
          <w:cantSplit/>
        </w:trP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P30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Gradiente de 5 puntos + estados externos</w:t>
            </w:r>
          </w:p>
        </w:tc>
      </w:tr>
      <w:tr>
        <w:trPr>
          <w:cantSplit/>
        </w:trP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P31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Tarjetas</w:t>
            </w:r>
          </w:p>
        </w:tc>
      </w:tr>
      <w:tr>
        <w:trPr>
          <w:cantSplit/>
        </w:trP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P32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Gradiente verbal + estado externo</w:t>
            </w:r>
          </w:p>
        </w:tc>
      </w:tr>
      <w:tr>
        <w:trPr>
          <w:cantSplit/>
        </w:trP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P33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Tarjetas múltiples sobrias</w:t>
            </w:r>
          </w:p>
        </w:tc>
      </w:tr>
      <w:tr>
        <w:trPr>
          <w:cantSplit/>
        </w:trP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P34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Campo de texto breve</w:t>
            </w:r>
          </w:p>
        </w:tc>
      </w:tr>
      <w:tr>
        <w:trPr>
          <w:cantSplit/>
        </w:trP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P35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Campo de texto breve</w:t>
            </w:r>
          </w:p>
        </w:tc>
      </w:tr>
      <w:tr>
        <w:trPr>
          <w:cantSplit/>
        </w:trP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P36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Campo de texto breve</w:t>
            </w:r>
          </w:p>
        </w:tc>
      </w:tr>
      <w:tr>
        <w:trPr>
          <w:cantSplit/>
        </w:trP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P37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Campo de texto breve</w:t>
            </w:r>
          </w:p>
        </w:tc>
      </w:tr>
      <w:tr>
        <w:trPr>
          <w:cantSplit/>
        </w:trP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P38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Campo de texto breve</w:t>
            </w:r>
          </w:p>
        </w:tc>
      </w:tr>
      <w:tr>
        <w:trPr>
          <w:cantSplit/>
        </w:trP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P39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Campo de texto breve</w:t>
            </w:r>
          </w:p>
        </w:tc>
      </w:tr>
      <w:tr>
        <w:trPr>
          <w:cantSplit/>
        </w:trPr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P40</w:t>
            </w:r>
          </w:p>
        </w:tc>
        <w:tc>
          <w:tcPr>
            <w:tcW w:type="dxa" w:w="504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Campo de texto breve</w:t>
            </w:r>
          </w:p>
        </w:tc>
      </w:tr>
    </w:tbl>
    <w:p>
      <w:pPr>
        <w:pStyle w:val="Heading1"/>
      </w:pPr>
      <w:r>
        <w:t>8. Preguntas sensibles y cuidado</w:t>
      </w:r>
    </w:p>
    <w:p>
      <w:pPr>
        <w:pStyle w:val="ListBullet"/>
      </w:pPr>
      <w:r>
        <w:t>P11, P16–P18, P25, P29–P33 requieren tratamiento sobrio: sin animaciones festivas, sin dramatización y con salida clara. Los bloques de cuidado P16–P18 y P33 tienen prioridad de claridad y privacidad.</w:t>
      </w:r>
    </w:p>
    <w:p>
      <w:pPr>
        <w:pStyle w:val="ListBullet"/>
      </w:pPr>
      <w:r>
        <w:t>La privacidad debe ser visible a nivel global; no convertir cada pregunta sensible en una “pantalla oscura” especial.</w:t>
      </w:r>
    </w:p>
    <w:p>
      <w:pPr>
        <w:pStyle w:val="ListBullet"/>
      </w:pPr>
      <w:r>
        <w:t>“Prefiero no responder” conserva su significado y no debe disparar una insistencia posterior.</w:t>
      </w:r>
    </w:p>
    <w:p>
      <w:pPr>
        <w:pStyle w:val="Heading1"/>
      </w:pPr>
      <w:r>
        <w:t>9. Accesibilidad y robustez de interfaz</w:t>
      </w:r>
    </w:p>
    <w:p>
      <w:pPr>
        <w:pStyle w:val="ListBullet"/>
      </w:pPr>
      <w:r>
        <w:t>No comunicar selección o estado solo mediante color; combinar forma, borde, icono o texto.</w:t>
      </w:r>
    </w:p>
    <w:p>
      <w:pPr>
        <w:pStyle w:val="ListBullet"/>
      </w:pPr>
      <w:r>
        <w:t>Emojis son apoyo visual: el texto de la opción sigue siendo la etiqueta semántica y accesible.</w:t>
      </w:r>
    </w:p>
    <w:p>
      <w:pPr>
        <w:pStyle w:val="ListBullet"/>
      </w:pPr>
      <w:r>
        <w:t>Controles táctiles con área objetivo mínima de 44 × 44 CSS px cuando sea técnicamente posible; evitar hotspots diminutos, especialmente en P11.</w:t>
      </w:r>
    </w:p>
    <w:p>
      <w:pPr>
        <w:pStyle w:val="ListBullet"/>
      </w:pPr>
      <w:r>
        <w:t>Gradientes: cada posición debe tener etiqueta accesible y ser operable sin depender de arrastrar con precisión.</w:t>
      </w:r>
    </w:p>
    <w:p>
      <w:pPr>
        <w:pStyle w:val="ListBullet"/>
      </w:pPr>
      <w:r>
        <w:t>P11 debe ofrecer una alternativa equivalente en lista de zonas para quien no pueda o no quiera interactuar con la silueta.</w:t>
      </w:r>
    </w:p>
    <w:p>
      <w:pPr>
        <w:pStyle w:val="ListBullet"/>
      </w:pPr>
      <w:r>
        <w:t>Orden de foco y navegación por teclado coherentes en web; estados seleccionados deben anunciarse de forma accesible.</w:t>
      </w:r>
    </w:p>
    <w:p>
      <w:pPr>
        <w:pStyle w:val="ListBullet"/>
      </w:pPr>
      <w:r>
        <w:t>Probar al menos en ancho móvil de 360–390 px y escritorio; sin texto cortado, solapamientos ni scroll horizontal involuntario.</w:t>
      </w:r>
    </w:p>
    <w:p>
      <w:pPr>
        <w:pStyle w:val="Heading1"/>
      </w:pPr>
      <w:r>
        <w:t>10. Activos GOZADORAS pendientes</w:t>
      </w:r>
    </w:p>
    <w:p>
      <w:pPr>
        <w:pStyle w:val="ListBullet"/>
      </w:pPr>
      <w:r>
        <w:t>Silueta corporal final para P11.</w:t>
      </w:r>
    </w:p>
    <w:p>
      <w:pPr>
        <w:pStyle w:val="ListBullet"/>
      </w:pPr>
      <w:r>
        <w:t>SVG secuencia temporal P08–P09.</w:t>
      </w:r>
    </w:p>
    <w:p>
      <w:pPr>
        <w:pStyle w:val="ListBullet"/>
      </w:pPr>
      <w:r>
        <w:t>Posible variante horizontal del wordmark GOZADORAS CLUB.</w:t>
      </w:r>
    </w:p>
    <w:p>
      <w:pPr>
        <w:pStyle w:val="ListBullet"/>
      </w:pPr>
      <w:r>
        <w:t>Ajustes de branding adicionales y recursos gráficos finales.</w:t>
      </w:r>
    </w:p>
    <w:p>
      <w:pPr>
        <w:pStyle w:val="SmallNote"/>
      </w:pPr>
      <w:r>
        <w:t>Estos activos pueden entregarse después del paquete de estructura. Su ausencia no bloquea la implementación/corrección de arquitectura, interacción, vistas, cardinalidades, branches y recorrido. Mientras estén pendientes, usar placeholders neutros identificados como tales; no convertirlos en diseño definitivo.</w:t>
      </w:r>
    </w:p>
    <w:p>
      <w:pPr>
        <w:pStyle w:val="Heading1"/>
      </w:pPr>
      <w:r>
        <w:t>11. Criterios de aceptación v1</w:t>
      </w:r>
    </w:p>
    <w:p>
      <w:pPr>
        <w:pStyle w:val="ListBullet"/>
      </w:pPr>
      <w:r>
        <w:t>El flujo inicia PORTADA → PRE01 → CTX → MIRADOR → P01; el anclaje de las últimas 4 semanas aparece una vez en PRE01.</w:t>
      </w:r>
    </w:p>
    <w:p>
      <w:pPr>
        <w:pStyle w:val="ListBullet"/>
      </w:pPr>
      <w:r>
        <w:t>P19 conserva simultáneamente la atmósfera de densidad y las etiquetas verbales exactas de A; ninguna respuesta puede inferirse solo por el gráfico.</w:t>
      </w:r>
    </w:p>
    <w:p>
      <w:pPr>
        <w:pStyle w:val="ListBullet"/>
      </w:pPr>
      <w:r>
        <w:t>El MVP no puede resolver todas las preguntas con un único patrón de botones/píldoras homogéneos.</w:t>
      </w:r>
    </w:p>
    <w:p>
      <w:pPr>
        <w:pStyle w:val="ListBullet"/>
      </w:pPr>
      <w:r>
        <w:t>Las cinco transiciones aparecen en las posiciones definidas y no existe un sexto paisaje para P25–P40.</w:t>
      </w:r>
    </w:p>
    <w:p>
      <w:pPr>
        <w:pStyle w:val="ListBullet"/>
      </w:pPr>
      <w:r>
        <w:t>Las preguntas de varias vistas mantienen question_id, selección persistente y cardinalidad total.</w:t>
      </w:r>
    </w:p>
    <w:p>
      <w:pPr>
        <w:pStyle w:val="ListBullet"/>
      </w:pPr>
      <w:r>
        <w:t>Los gradientes separan físicamente los estados fuera de escala.</w:t>
      </w:r>
    </w:p>
    <w:p>
      <w:pPr>
        <w:pStyle w:val="ListBullet"/>
      </w:pPr>
      <w:r>
        <w:t>P13/P14 preservan identidad visual del par comparativo.</w:t>
      </w:r>
    </w:p>
    <w:p>
      <w:pPr>
        <w:pStyle w:val="ListBullet"/>
      </w:pPr>
      <w:r>
        <w:t>P08/P09 preservan identidad visual del secuencia temporal.</w:t>
      </w:r>
    </w:p>
    <w:p>
      <w:pPr>
        <w:pStyle w:val="ListBullet"/>
      </w:pPr>
      <w:r>
        <w:t>P19 implementa densidad 20/35/50/65/80 ±5 % sin modificar otras variables visuales.</w:t>
      </w:r>
    </w:p>
    <w:p>
      <w:pPr>
        <w:pStyle w:val="ListBullet"/>
      </w:pPr>
      <w:r>
        <w:t>P11 permite selección/deselección múltiple de zonas y estados externos excluyentes.</w:t>
      </w:r>
    </w:p>
    <w:p>
      <w:pPr>
        <w:pStyle w:val="ListBullet"/>
      </w:pPr>
      <w:r>
        <w:t>No se muestra “Pregunta X/40”.</w:t>
      </w:r>
    </w:p>
    <w:p>
      <w:pPr>
        <w:pStyle w:val="ListBullet"/>
      </w:pPr>
      <w:r>
        <w:t>Branches y Gate se rigen por A; la interfaz no inventa activaciones.</w:t>
      </w:r>
    </w:p>
    <w:p>
      <w:pPr>
        <w:pStyle w:val="ListBullet"/>
      </w:pPr>
      <w:r>
        <w:t>No queda ningún branch expresado como “si hace falta”, “puede abrirse” o equivalente ambiguo.</w:t>
      </w:r>
    </w:p>
    <w:p>
      <w:pPr>
        <w:pStyle w:val="ListBullet"/>
      </w:pPr>
      <w:r>
        <w:t>La lógica de omisión respeta el modo de activación de P28/P29 y las preguntas omisibles listadas en A.</w:t>
      </w:r>
    </w:p>
    <w:p>
      <w:pPr>
        <w:pStyle w:val="ListBullet"/>
      </w:pPr>
      <w:r>
        <w:t>P30 usa una única dimensión de intensidad (Mucho → Nada); no mezcla intensidad con frecuencia.</w:t>
      </w:r>
    </w:p>
    <w:p>
      <w:pPr>
        <w:pStyle w:val="ListBullet"/>
      </w:pPr>
      <w:r>
        <w:t>P32 no presupone convivencia con la pareja.</w:t>
      </w:r>
    </w:p>
    <w:p>
      <w:pPr>
        <w:pStyle w:val="ListBullet"/>
      </w:pPr>
      <w:r>
        <w:t>La interfaz cumple los requisitos de accesibilidad de la sección 9.</w:t>
      </w:r>
    </w:p>
    <w:p>
      <w:pPr>
        <w:pStyle w:val="ListBullet"/>
      </w:pPr>
      <w:r>
        <w:t>Refresh o cierre accidental no elimina respuestas ya confirmadas; una session_id IN_PROGRESS puede reanudarse sin duplicar sesión.</w:t>
      </w:r>
    </w:p>
    <w:p>
      <w:pPr>
        <w:pStyle w:val="ListBullet"/>
      </w:pPr>
      <w:r>
        <w:t>Una session_id COMPLETE no permite editar el snapshot cerrado.</w:t>
      </w:r>
    </w:p>
    <w:p>
      <w:pPr>
        <w:pStyle w:val="Heading1"/>
      </w:pPr>
      <w:r>
        <w:t>12. Estado</w:t>
      </w:r>
    </w:p>
    <w:p>
      <w:r>
        <w:t>FREEZE DE EXPERIENCIA E INTERFAZ v1.0 · PASS CON RESERVAS para implementación y QA. No declara FINAL. Reservas explícitas: QA P08 y activos GOZADORAS pendientes. El ranking de Destinos queda fuera de A/B hasta cerrar catálogo de 11 Destinos + reglas señal → ranking en el documento 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1020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87878"/>
        <w:sz w:val="14"/>
      </w:rPr>
      <w:t>GOZADORAS CLUB · 01/10/2026 · Freeze v1.0 · Implementación y QA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E6E6E"/>
        <w:sz w:val="15"/>
      </w:rPr>
      <w:t>GOZADORAS CLUB · MVP Mapa · Experiencia e Interfaz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4A182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C263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3333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4A18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Label">
    <w:name w:val="Meta Label"/>
    <w:pPr>
      <w:keepNext/>
      <w:spacing w:after="20"/>
    </w:pPr>
    <w:rPr>
      <w:rFonts w:ascii="Aptos" w:hAnsi="Aptos"/>
      <w:b/>
      <w:color w:val="505050"/>
      <w:sz w:val="17"/>
    </w:rPr>
  </w:style>
  <w:style w:type="paragraph" w:customStyle="1" w:styleId="SmallNote">
    <w:name w:val="Small Note"/>
    <w:pPr>
      <w:spacing w:after="60"/>
    </w:pPr>
    <w:rPr>
      <w:rFonts w:ascii="Aptos" w:hAnsi="Aptos"/>
      <w:color w:val="5F5F5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