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42"/>
        </w:rPr>
        <w:t>PROPUESTA DE ARQUITECTURA DE SIMULACIÓN,</w:t>
        <w:br/>
        <w:t>MODELO DE RIESGO Y ESTRATEGIA DE PULVERIZACIÓN</w:t>
      </w:r>
    </w:p>
    <w:p>
      <w:pPr>
        <w:jc w:val="center"/>
      </w:pPr>
      <w:r>
        <w:rPr>
          <w:b w:val="0"/>
          <w:i w:val="0"/>
        </w:rPr>
      </w:r>
    </w:p>
    <w:p>
      <w:pPr>
        <w:jc w:val="center"/>
      </w:pPr>
      <w:r>
        <w:rPr>
          <w:b/>
          <w:i w:val="0"/>
        </w:rPr>
        <w:t>Proyecto Final de Estudios – Ingeniería Mecatrónica</w:t>
      </w:r>
    </w:p>
    <w:p>
      <w:pPr>
        <w:jc w:val="center"/>
      </w:pPr>
      <w:r>
        <w:rPr>
          <w:b w:val="0"/>
          <w:i/>
        </w:rPr>
        <w:t>Sistema de Visión Artificial y Control Co-simulado Adaptativo para la Pulverización Selectiva de Oídio en Vid</w:t>
      </w:r>
    </w:p>
    <w:p>
      <w:pPr>
        <w:jc w:val="center"/>
      </w:pPr>
      <w:r>
        <w:rPr>
          <w:b w:val="0"/>
          <w:i w:val="0"/>
        </w:rPr>
        <w:t>Alumno: Nicolás Ezequiel Sorrentino</w:t>
      </w:r>
    </w:p>
    <w:p>
      <w:pPr>
        <w:jc w:val="center"/>
      </w:pPr>
      <w:r>
        <w:rPr>
          <w:b w:val="0"/>
          <w:i w:val="0"/>
        </w:rPr>
        <w:t>Documento de trabajo técnico – Septiembre de 2026</w:t>
      </w:r>
    </w:p>
    <w:p/>
    <w:tbl>
      <w:tblPr>
        <w:tblStyle w:val="TableGrid"/>
        <w:tblW w:type="auto" w:w="0"/>
        <w:jc w:val="center"/>
        <w:tblLook w:firstColumn="1" w:firstRow="1" w:lastColumn="0" w:lastRow="0" w:noHBand="0" w:noVBand="1" w:val="04A0"/>
      </w:tblPr>
      <w:tblGrid>
        <w:gridCol w:w="9936"/>
      </w:tblGrid>
      <w:tr>
        <w:tc>
          <w:tcPr>
            <w:tcW w:type="dxa" w:w="9936"/>
            <w:shd w:fill="EEF4F8"/>
          </w:tcPr>
          <w:p>
            <w:r>
              <w:rPr>
                <w:b/>
              </w:rPr>
              <w:t>Idea central: la detección visual no debe activar directamente una boquilla sobre la hoja detectada. La detección debe convertirse en una fuente espacial de riesgo; ese riesgo se transforma en una zona de tratamiento y finalmente en un mapa de prescripción utilizado durante una segunda pasada de pulverización.</w:t>
            </w:r>
          </w:p>
        </w:tc>
      </w:tr>
    </w:tbl>
    <w:p>
      <w:r>
        <w:br w:type="page"/>
      </w:r>
    </w:p>
    <w:p>
      <w:pPr>
        <w:pStyle w:val="Heading1"/>
      </w:pPr>
      <w:r>
        <w:t>1. Punto de partida y reformulación del problema</w:t>
      </w:r>
    </w:p>
    <w:p>
      <w:r>
        <w:rPr>
          <w:b w:val="0"/>
          <w:i w:val="0"/>
        </w:rPr>
        <w:t>El anteproyecto original propone integrar visión artificial, control adaptativo y una planta simulada para pulverización selectiva de oídio en vid. Durante el análisis conceptual surgió una limitación importante: pulverizar únicamente la hoja donde se observa el síntoma no necesariamente representa una estrategia agronómica suficiente, ya que puede existir tejido expuesto o incluso infectado sin síntomas visibles.</w:t>
      </w:r>
    </w:p>
    <w:p>
      <w:r>
        <w:rPr>
          <w:b w:val="0"/>
          <w:i w:val="0"/>
        </w:rPr>
        <w:t>Por ello, se propone reformular la lógica del sistema. La unidad de decisión deja de ser la hoja individual y pasa a ser una región de cultivo que debe tratarse en función de un riesgo espacial estimado. Si se detecta oídio en una planta, la planta completa se considera candidata a tratamiento, y además se evalúa la vegetación vecina que pudo haber quedado expuesta a conidias.</w:t>
      </w:r>
    </w:p>
    <w:p>
      <w:pPr>
        <w:pStyle w:val="Heading1"/>
      </w:pPr>
      <w:r>
        <w:t>2. Por qué se propone una arquitectura de dos pasadas</w:t>
      </w:r>
    </w:p>
    <w:p>
      <w:pPr>
        <w:pStyle w:val="Heading2"/>
      </w:pPr>
      <w:r>
        <w:t>2.1 Limitación de la actuación inmediata en una sola pasada</w:t>
      </w:r>
    </w:p>
    <w:p>
      <w:r>
        <w:rPr>
          <w:b w:val="0"/>
          <w:i w:val="0"/>
        </w:rPr>
        <w:t>Una arquitectura de una sola pasada podría utilizar una cámara adelantada respecto de la barra de pulverización. Sin embargo, esa solución impone una restricción geométrica: la porción de la zona de riesgo que queda detrás del foco debe ser menor que la distancia efectiva entre cámara y barra, descontando latencias de procesamiento y actuación.</w:t>
      </w:r>
    </w:p>
    <w:p>
      <w:pPr>
        <w:jc w:val="center"/>
      </w:pPr>
      <w:r>
        <w:rPr>
          <w:rFonts w:ascii="Cambria Math" w:hAnsi="Cambria Math"/>
          <w:b/>
          <w:sz w:val="22"/>
        </w:rPr>
        <w:t>R_atrás ≤ D_cámara-barra − D_latencia</w:t>
      </w:r>
    </w:p>
    <w:p>
      <w:r>
        <w:rPr>
          <w:b w:val="0"/>
          <w:i w:val="0"/>
        </w:rPr>
        <w:t>Si el modelo epidemiológico indicara que debe tratarse una zona mayor hacia atrás, parte de esa zona ya habría sido sobrepasada por el pulverizador en el momento de la detección. Esto hace que una variable agronómica quede condicionada por una decisión mecánica del equipo, lo cual no es deseable.</w:t>
      </w:r>
    </w:p>
    <w:p>
      <w:pPr>
        <w:pStyle w:val="Heading2"/>
      </w:pPr>
      <w:r>
        <w:t>2.2 Arquitectura propuesta: scouting y tratamiento en etapas separadas</w:t>
      </w:r>
    </w:p>
    <w:p>
      <w:pPr>
        <w:pStyle w:val="CodeBlock"/>
        <w:ind w:left="360" w:right="360"/>
      </w:pPr>
      <w:r>
        <w:t>PASADA 1 – SCOUTING</w:t>
        <w:br/>
        <w:t>Video/cámara → IA → detección → localización → mapa sanitario → modelo de riesgo → mapa de prescripción</w:t>
        <w:br/>
        <w:br/>
        <w:t>PASADA 2 – TRATAMIENTO</w:t>
        <w:br/>
        <w:t>Mapa de prescripción + localización del vehículo → decisión de control → boquillas ON/OFF → pulverización</w:t>
      </w:r>
    </w:p>
    <w:p>
      <w:r>
        <w:rPr>
          <w:b w:val="0"/>
          <w:i w:val="0"/>
        </w:rPr>
        <w:t>Esta separación permite definir la zona de tratamiento después de haber procesado toda la pasada de inspección. Por lo tanto, el sistema puede incluir vegetación situada tanto antes como después del foco detectado, sin estar limitado por la posición física de una cámara respecto del pulverizador.</w:t>
      </w:r>
    </w:p>
    <w:p>
      <w:pPr>
        <w:pStyle w:val="Heading1"/>
      </w:pPr>
      <w:r>
        <w:t>3. Primera pasada: adquisición, detección y localización</w:t>
      </w:r>
    </w:p>
    <w:p>
      <w:pPr>
        <w:pStyle w:val="Heading2"/>
      </w:pPr>
      <w:r>
        <w:t>3.1 Entrada basada en video real de campo</w:t>
      </w:r>
    </w:p>
    <w:p>
      <w:r>
        <w:rPr>
          <w:b w:val="0"/>
          <w:i w:val="0"/>
        </w:rPr>
        <w:t>La propuesta es utilizar uno o varios videos grabados en un viñedo real como entrada primaria del sistema de percepción. El video representa el recorrido de scouting. El modelo de visión ya entrenado procesa los cuadros y genera detecciones de síntomas de oídio.</w:t>
      </w:r>
    </w:p>
    <w:p>
      <w:pPr>
        <w:pStyle w:val="CodeBlock"/>
        <w:ind w:left="360" w:right="360"/>
      </w:pPr>
      <w:r>
        <w:t>VIDEO REAL → YOLO → detecciones por frame → tracking/agrupamiento → focos únicos</w:t>
      </w:r>
    </w:p>
    <w:p>
      <w:r>
        <w:rPr>
          <w:b w:val="0"/>
          <w:i w:val="0"/>
        </w:rPr>
        <w:t>Es importante evitar contar la misma hoja o colonia como múltiples focos debido a su aparición durante cuadros consecutivos. Para ello puede utilizarse tracking (por ejemplo, ByteTrack/SORT) o una lógica propia de agrupamiento espacio-temporal.</w:t>
      </w:r>
    </w:p>
    <w:p>
      <w:pPr>
        <w:pStyle w:val="Heading2"/>
      </w:pPr>
      <w:r>
        <w:t>3.2 De detección visual a una referencia espacial</w:t>
      </w:r>
    </w:p>
    <w:p>
      <w:r>
        <w:rPr>
          <w:b w:val="0"/>
          <w:i w:val="0"/>
        </w:rPr>
        <w:t>La segunda tarea de esta pasada es asociar cada foco detectado con una posición dentro del viñedo. Para la simulación y el control puede ser más conveniente trabajar inicialmente con coordenadas locales por hilera en lugar de depender exclusivamente de latitud y longitud.</w:t>
      </w:r>
    </w:p>
    <w:p>
      <w:pPr>
        <w:pStyle w:val="CodeBlock"/>
        <w:ind w:left="360" w:right="360"/>
      </w:pPr>
      <w:r>
        <w:t>Foco i:</w:t>
        <w:br/>
        <w:t>- Hilera: H</w:t>
        <w:br/>
        <w:t>- Coordenada longitudinal desde inicio de hilera: s [m]</w:t>
        <w:br/>
        <w:t>- Identificador de planta o segmento: opcional</w:t>
        <w:br/>
        <w:t>- Confianza de detección</w:t>
        <w:br/>
        <w:t>- Timestamp</w:t>
        <w:br/>
        <w:t>- Variables meteorológicas asociadas</w:t>
      </w:r>
    </w:p>
    <w:p>
      <w:r>
        <w:rPr>
          <w:b w:val="0"/>
          <w:i w:val="0"/>
        </w:rPr>
        <w:t>La posición puede estimarse combinando GNSS, odometría/encoders e IMU. En una implementación posterior podría incorporarse RTK-GNSS para aumentar precisión. En el PFE estos sensores pueden modelarse y evaluarse dentro de la simulación, incluyendo sus errores.</w:t>
      </w:r>
    </w:p>
    <w:p>
      <w:pPr>
        <w:pStyle w:val="Heading1"/>
      </w:pPr>
      <w:r>
        <w:t>4. De foco visible a riesgo espacial</w:t>
      </w:r>
    </w:p>
    <w:p>
      <w:pPr>
        <w:pStyle w:val="Heading2"/>
      </w:pPr>
      <w:r>
        <w:t>4.1 Diferencia entre “distancia de dispersión” y “zona de tratamiento”</w:t>
      </w:r>
    </w:p>
    <w:p>
      <w:r>
        <w:rPr>
          <w:b w:val="0"/>
          <w:i w:val="0"/>
        </w:rPr>
        <w:t>No se propone afirmar que todas las esporas viajan una distancia fija. La dispersión de Erysiphe necator es un fenómeno espacial y temporal dependiente de las condiciones ambientales y del cultivo. Por ello, es más sólido estimar un campo de riesgo y luego definir una zona de tratamiento mediante un umbral.</w:t>
      </w:r>
    </w:p>
    <w:p>
      <w:pPr>
        <w:pStyle w:val="CodeBlock"/>
        <w:ind w:left="360" w:right="360"/>
      </w:pPr>
      <w:r>
        <w:t>Foco detectado ≠ radio fijo de enfermedad</w:t>
        <w:br/>
        <w:t>Foco detectado → distribución espacial de exposición → riesgo estimado → umbral → zona de tratamiento</w:t>
      </w:r>
    </w:p>
    <w:p>
      <w:pPr>
        <w:pStyle w:val="Heading2"/>
      </w:pPr>
      <w:r>
        <w:t>4.2 Modelo de referencia de Calonnec et al. (2008)</w:t>
      </w:r>
    </w:p>
    <w:p>
      <w:r>
        <w:rPr>
          <w:b w:val="0"/>
          <w:i w:val="0"/>
        </w:rPr>
        <w:t>Calonnec et al. desarrollaron un modelo huésped-patógeno para oídio de la vid que acopla crecimiento de la vid, dinámica de la enfermedad y dispersión aérea de conidias. Las entradas climáticas incluyen temperatura, velocidad del viento y dirección del viento. El modelo sigue espacialmente la liberación y recepción de esporas y utiliza una caída con la distancia dentro de un cono de dispersión orientado por el viento.</w:t>
      </w:r>
    </w:p>
    <w:p>
      <w:r>
        <w:rPr>
          <w:b w:val="0"/>
          <w:i w:val="0"/>
        </w:rPr>
        <w:t>Para el PFE no sería necesario reproducir el modelo completo. Puede desarrollarse una versión reducida que conserve el comportamiento relevante para generar un mapa de riesgo a partir de focos detectados.</w:t>
      </w:r>
    </w:p>
    <w:p>
      <w:pPr>
        <w:jc w:val="center"/>
      </w:pPr>
      <w:r>
        <w:rPr>
          <w:rFonts w:ascii="Cambria Math" w:hAnsi="Cambria Math"/>
          <w:b/>
          <w:sz w:val="22"/>
        </w:rPr>
        <w:t>C(d, θ) = C₀ · G(θ, viento) · exp(−k · d)</w:t>
      </w:r>
    </w:p>
    <w:p>
      <w:r>
        <w:rPr>
          <w:b w:val="0"/>
          <w:i w:val="0"/>
        </w:rPr>
        <w:t>Donde C representa una medida relativa de exposición potencial, d es la distancia al foco, θ la dirección respecto del viento, G pondera la dirección del transporte y k controla el decaimiento espacial. Esta ecuación se plantea aquí como una simplificación de ingeniería inspirada en la estructura del modelo publicado, no como reproducción exacta de todas sus ecuaciones.</w:t>
      </w:r>
    </w:p>
    <w:p>
      <w:pPr>
        <w:pStyle w:val="Heading2"/>
      </w:pPr>
      <w:r>
        <w:t>4.3 Separar dispersión física y favorabilidad epidemiológica</w:t>
      </w:r>
    </w:p>
    <w:p>
      <w:r>
        <w:rPr>
          <w:b w:val="0"/>
          <w:i w:val="0"/>
        </w:rPr>
        <w:t>Conviene separar dos fenómenos diferentes. El viento afecta principalmente el transporte y liberación de conidias. La temperatura, la edad/susceptibilidad del tejido y otras condiciones ambientales afectan el éxito de infección y el desarrollo posterior. En ensayos de liberación de conidias de E. necator se observó una fuerte influencia del viento, mientras que la humedad relativa no modificó significativamente la liberación en esas condiciones experimentales.</w:t>
      </w:r>
    </w:p>
    <w:p>
      <w:pPr>
        <w:pStyle w:val="CodeBlock"/>
        <w:ind w:left="360" w:right="360"/>
      </w:pPr>
      <w:r>
        <w:t>DISPERSIÓN ESPACIAL</w:t>
        <w:br/>
        <w:t>velocidad del viento + dirección + geometría</w:t>
        <w:br/>
        <w:t xml:space="preserve">            ↓</w:t>
        <w:br/>
        <w:t xml:space="preserve">      exposición C(x,y)</w:t>
        <w:br/>
        <w:br/>
        <w:t>FAVORABILIDAD BIOLÓGICA</w:t>
        <w:br/>
        <w:t>temperatura + susceptibilidad + condiciones epidemiológicas</w:t>
        <w:br/>
        <w:t xml:space="preserve">            ↓</w:t>
        <w:br/>
        <w:t xml:space="preserve">       factor F(x,y)</w:t>
      </w:r>
    </w:p>
    <w:p>
      <w:pPr>
        <w:jc w:val="center"/>
      </w:pPr>
      <w:r>
        <w:rPr>
          <w:rFonts w:ascii="Cambria Math" w:hAnsi="Cambria Math"/>
          <w:b/>
          <w:sz w:val="22"/>
        </w:rPr>
        <w:t>R(x,y) = C(x,y) · F_T(T) · F_H(H, …) · F_S</w:t>
      </w:r>
    </w:p>
    <w:p>
      <w:r>
        <w:rPr>
          <w:b w:val="0"/>
          <w:i w:val="0"/>
        </w:rPr>
        <w:t>R(x,y) es un índice de riesgo relativo. El objetivo no es afirmar una probabilidad absoluta de infección sin validación experimental, sino construir un índice parametrizable respaldado por literatura y analizar su efecto sobre la prescripción.</w:t>
      </w:r>
    </w:p>
    <w:p>
      <w:pPr>
        <w:pStyle w:val="Heading2"/>
      </w:pPr>
      <w:r>
        <w:t>4.4 Umbral de tratamiento</w:t>
      </w:r>
    </w:p>
    <w:p>
      <w:r>
        <w:rPr>
          <w:b w:val="0"/>
          <w:i w:val="0"/>
        </w:rPr>
        <w:t>Una vez calculado el riesgo, el planificador aplica un umbral de actuación. Cada planta o segmento de hilera cuya puntuación supere el umbral pasa al mapa de prescripción.</w:t>
      </w:r>
    </w:p>
    <w:p>
      <w:pPr>
        <w:jc w:val="center"/>
      </w:pPr>
      <w:r>
        <w:rPr>
          <w:rFonts w:ascii="Cambria Math" w:hAnsi="Cambria Math"/>
          <w:b/>
          <w:sz w:val="22"/>
        </w:rPr>
        <w:t>Si R(x,y) ≥ R_crit  →  TRATAR</w:t>
      </w:r>
    </w:p>
    <w:p>
      <w:r>
        <w:rPr>
          <w:b w:val="0"/>
          <w:i w:val="0"/>
        </w:rPr>
        <w:t>El valor R_crit se considera un parámetro de diseño y puede evaluarse mediante escenarios. Esto permite estudiar el compromiso entre precaución agronómica y ahorro de producto.</w:t>
      </w:r>
    </w:p>
    <w:p>
      <w:pPr>
        <w:pStyle w:val="Heading1"/>
      </w:pPr>
      <w:r>
        <w:t>5. Tratamiento a nivel de planta completa</w:t>
      </w:r>
    </w:p>
    <w:p>
      <w:r>
        <w:rPr>
          <w:b w:val="0"/>
          <w:i w:val="0"/>
        </w:rPr>
        <w:t>Según el criterio agronómico discutido, si se detecta oídio en una planta no se propone pulverizar únicamente la altura o la hoja sintomática. La actuación prevista es cubrir la planta completa. La información vertical de la detección puede conservarse para análisis o validación, pero no es imprescindible para decidir qué boquilla puntual debe actuar sobre la mancha.</w:t>
      </w:r>
    </w:p>
    <w:p>
      <w:pPr>
        <w:pStyle w:val="CodeBlock"/>
        <w:ind w:left="360" w:right="360"/>
      </w:pPr>
      <w:r>
        <w:t>IA detecta síntoma → se identifica planta/segmento → planta completa incluida en prescripción</w:t>
      </w:r>
    </w:p>
    <w:p>
      <w:r>
        <w:rPr>
          <w:b w:val="0"/>
          <w:i w:val="0"/>
        </w:rPr>
        <w:t>La barra de pulverización debe diseñarse de modo que el conjunto de boquillas activas cubra la altura útil de la canopia. La simulación puede representar varias boquillas verticales, pero cuando el vehículo atraviesa una zona prescrita todas las necesarias para cubrir la planta se activan simultáneamente.</w:t>
      </w:r>
    </w:p>
    <w:p>
      <w:pPr>
        <w:pStyle w:val="Heading1"/>
      </w:pPr>
      <w:r>
        <w:t>6. Generación del mapa de prescripción</w:t>
      </w:r>
    </w:p>
    <w:p>
      <w:r>
        <w:rPr>
          <w:b w:val="0"/>
          <w:i w:val="0"/>
        </w:rPr>
        <w:t>Cada foco produce una región de riesgo. Si varias regiones se superponen, el planificador debe calcular su unión para evitar tratar repetidamente la misma zona. El resultado final es un mapa de segmentos o polígonos que indica dónde pulverizar.</w:t>
      </w:r>
    </w:p>
    <w:p>
      <w:pPr>
        <w:pStyle w:val="CodeBlock"/>
        <w:ind w:left="360" w:right="360"/>
      </w:pPr>
      <w:r>
        <w:t>Focos individuales</w:t>
        <w:br/>
        <w:t xml:space="preserve">   [██████]</w:t>
        <w:br/>
        <w:t xml:space="preserve">       [████████]</w:t>
        <w:br/>
        <w:t xml:space="preserve">              [██████]</w:t>
        <w:br/>
        <w:br/>
        <w:t>Unión / prescripción final</w:t>
        <w:br/>
        <w:t xml:space="preserve">   [██████████████████]</w:t>
      </w:r>
    </w:p>
    <w:tbl>
      <w:tblPr>
        <w:tblStyle w:val="TableGrid"/>
        <w:tblW w:type="auto" w:w="0"/>
        <w:jc w:val="center"/>
        <w:tblLook w:firstColumn="1" w:firstRow="1" w:lastColumn="0" w:lastRow="0" w:noHBand="0" w:noVBand="1" w:val="04A0"/>
      </w:tblPr>
      <w:tblGrid>
        <w:gridCol w:w="4968"/>
        <w:gridCol w:w="4968"/>
      </w:tblGrid>
      <w:tr>
        <w:tc>
          <w:tcPr>
            <w:tcW w:type="dxa" w:w="4968"/>
            <w:shd w:fill="1F4E78"/>
            <w:vAlign w:val="center"/>
          </w:tcPr>
          <w:p>
            <w:r>
              <w:rPr>
                <w:b/>
                <w:color w:val="FFFFFF"/>
              </w:rPr>
              <w:t>Campo del mapa</w:t>
            </w:r>
          </w:p>
        </w:tc>
        <w:tc>
          <w:tcPr>
            <w:tcW w:type="dxa" w:w="4968"/>
            <w:shd w:fill="1F4E78"/>
            <w:vAlign w:val="center"/>
          </w:tcPr>
          <w:p>
            <w:r>
              <w:rPr>
                <w:b/>
                <w:color w:val="FFFFFF"/>
              </w:rPr>
              <w:t>Descripción</w:t>
            </w:r>
          </w:p>
        </w:tc>
      </w:tr>
      <w:tr>
        <w:tc>
          <w:tcPr>
            <w:tcW w:type="dxa" w:w="4968"/>
            <w:vAlign w:val="center"/>
          </w:tcPr>
          <w:p>
            <w:r>
              <w:t>Hilera</w:t>
            </w:r>
          </w:p>
        </w:tc>
        <w:tc>
          <w:tcPr>
            <w:tcW w:type="dxa" w:w="4968"/>
            <w:vAlign w:val="center"/>
          </w:tcPr>
          <w:p>
            <w:r>
              <w:t>Identificador de la hilera</w:t>
            </w:r>
          </w:p>
        </w:tc>
      </w:tr>
      <w:tr>
        <w:tc>
          <w:tcPr>
            <w:tcW w:type="dxa" w:w="4968"/>
            <w:vAlign w:val="center"/>
          </w:tcPr>
          <w:p>
            <w:r>
              <w:t>s_inicio / s_fin</w:t>
            </w:r>
          </w:p>
        </w:tc>
        <w:tc>
          <w:tcPr>
            <w:tcW w:type="dxa" w:w="4968"/>
            <w:vAlign w:val="center"/>
          </w:tcPr>
          <w:p>
            <w:r>
              <w:t>Intervalo longitudinal a tratar</w:t>
            </w:r>
          </w:p>
        </w:tc>
      </w:tr>
      <w:tr>
        <w:tc>
          <w:tcPr>
            <w:tcW w:type="dxa" w:w="4968"/>
            <w:vAlign w:val="center"/>
          </w:tcPr>
          <w:p>
            <w:r>
              <w:t>Nivel de riesgo</w:t>
            </w:r>
          </w:p>
        </w:tc>
        <w:tc>
          <w:tcPr>
            <w:tcW w:type="dxa" w:w="4968"/>
            <w:vAlign w:val="center"/>
          </w:tcPr>
          <w:p>
            <w:r>
              <w:t>Índice o clase derivada del modelo</w:t>
            </w:r>
          </w:p>
        </w:tc>
      </w:tr>
      <w:tr>
        <w:tc>
          <w:tcPr>
            <w:tcW w:type="dxa" w:w="4968"/>
            <w:vAlign w:val="center"/>
          </w:tcPr>
          <w:p>
            <w:r>
              <w:t>Cobertura vertical</w:t>
            </w:r>
          </w:p>
        </w:tc>
        <w:tc>
          <w:tcPr>
            <w:tcW w:type="dxa" w:w="4968"/>
            <w:vAlign w:val="center"/>
          </w:tcPr>
          <w:p>
            <w:r>
              <w:t>Canopia completa</w:t>
            </w:r>
          </w:p>
        </w:tc>
      </w:tr>
      <w:tr>
        <w:tc>
          <w:tcPr>
            <w:tcW w:type="dxa" w:w="4968"/>
            <w:vAlign w:val="center"/>
          </w:tcPr>
          <w:p>
            <w:r>
              <w:t>Dosis o modo</w:t>
            </w:r>
          </w:p>
        </w:tc>
        <w:tc>
          <w:tcPr>
            <w:tcW w:type="dxa" w:w="4968"/>
            <w:vAlign w:val="center"/>
          </w:tcPr>
          <w:p>
            <w:r>
              <w:t>Inicialmente binario ON/OFF; extensible a tasa variable</w:t>
            </w:r>
          </w:p>
        </w:tc>
      </w:tr>
      <w:tr>
        <w:tc>
          <w:tcPr>
            <w:tcW w:type="dxa" w:w="4968"/>
            <w:vAlign w:val="center"/>
          </w:tcPr>
          <w:p>
            <w:r>
              <w:t>Trazabilidad</w:t>
            </w:r>
          </w:p>
        </w:tc>
        <w:tc>
          <w:tcPr>
            <w:tcW w:type="dxa" w:w="4968"/>
            <w:vAlign w:val="center"/>
          </w:tcPr>
          <w:p>
            <w:r>
              <w:t>Focos y condiciones que originaron la prescripción</w:t>
            </w:r>
          </w:p>
        </w:tc>
      </w:tr>
    </w:tbl>
    <w:p>
      <w:pPr>
        <w:pStyle w:val="Heading1"/>
      </w:pPr>
      <w:r>
        <w:t>7. Segunda pasada: vehículo de tratamiento</w:t>
      </w:r>
    </w:p>
    <w:p>
      <w:r>
        <w:rPr>
          <w:b w:val="0"/>
          <w:i w:val="0"/>
        </w:rPr>
        <w:t>La segunda pasada puede realizarse con el mismo tractor o con un UGV dedicado. Para el PFE conviene formular el pulverizador como un módulo instalable sobre una plataforma móvil, dejando la navegación autónoma completa fuera del núcleo obligatorio del proyecto. No obstante, Webots permite representar un UGV para que la simulación sea visual y extensible.</w:t>
      </w:r>
    </w:p>
    <w:p>
      <w:pPr>
        <w:pStyle w:val="CodeBlock"/>
        <w:ind w:left="360" w:right="360"/>
      </w:pPr>
      <w:r>
        <w:t>Mapa de prescripción</w:t>
        <w:br/>
        <w:t xml:space="preserve">        +</w:t>
        <w:br/>
        <w:t>GNSS / odometría / IMU</w:t>
        <w:br/>
        <w:t xml:space="preserve">        ↓</w:t>
        <w:br/>
        <w:t>posición estimada del vehículo</w:t>
        <w:br/>
        <w:t xml:space="preserve">        ↓</w:t>
        <w:br/>
        <w:t>¿la posición está dentro de una zona prescrita?</w:t>
        <w:br/>
        <w:t xml:space="preserve">        ↓</w:t>
        <w:br/>
        <w:t>NO → válvulas OFF</w:t>
        <w:br/>
        <w:t>SÍ → válvulas ON (cobertura completa de canopia)</w:t>
      </w:r>
    </w:p>
    <w:p>
      <w:pPr>
        <w:pStyle w:val="Heading1"/>
      </w:pPr>
      <w:r>
        <w:t>8. Rol de Webots</w:t>
      </w:r>
    </w:p>
    <w:p>
      <w:r>
        <w:rPr>
          <w:b w:val="0"/>
          <w:i w:val="0"/>
        </w:rPr>
        <w:t>Webots se propone como entorno de representación y evaluación de la segunda pasada, y también como herramienta para reproducir visualmente el recorrido de scouting. El video real no necesita reconstruirse fotogramétricamente dentro del mundo 3D. En cambio, sus detecciones y posiciones se transforman en eventos que alimentan al gemelo digital.</w:t>
      </w:r>
    </w:p>
    <w:p>
      <w:pPr>
        <w:pStyle w:val="CodeBlock"/>
        <w:ind w:left="360" w:right="360"/>
      </w:pPr>
      <w:r>
        <w:t>VIDEO REAL DE CAMPO</w:t>
        <w:br/>
        <w:t xml:space="preserve">     ↓</w:t>
        <w:br/>
        <w:t>IA + localización</w:t>
        <w:br/>
        <w:t xml:space="preserve">     ↓</w:t>
        <w:br/>
        <w:t>archivo de focos / mapa de prescripción</w:t>
        <w:br/>
        <w:t xml:space="preserve">     ↓</w:t>
        <w:br/>
        <w:t>WEBOTS</w:t>
        <w:br/>
        <w:t xml:space="preserve">     ↓</w:t>
        <w:br/>
        <w:t>replay del viñedo + vehículo + boquillas + consumo</w:t>
      </w:r>
    </w:p>
    <w:p>
      <w:r>
        <w:rPr>
          <w:b w:val="0"/>
          <w:i w:val="0"/>
        </w:rPr>
        <w:t>El viñedo virtual puede simplificarse a hileras de plantas repetidas con distancias conocidas. La prioridad es reproducir relaciones espaciales, movimiento del vehículo, posición, actuación y métricas; no es necesario modelar hojas individuales con realismo botánico ni resolver dinámica de gotas mediante CFD.</w:t>
      </w:r>
    </w:p>
    <w:p>
      <w:pPr>
        <w:pStyle w:val="Heading1"/>
      </w:pPr>
      <w:r>
        <w:t>9. Simulación de errores de localización</w:t>
      </w:r>
    </w:p>
    <w:p>
      <w:r>
        <w:rPr>
          <w:b w:val="0"/>
          <w:i w:val="0"/>
        </w:rPr>
        <w:t>La separación entre scouting y tratamiento introduce un problema interesante de ingeniería: la zona detectada en la primera pasada debe reencontrarse durante la segunda. Esto permite estudiar el efecto de los errores de localización sobre la cobertura real.</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8"/>
            <w:vAlign w:val="center"/>
          </w:tcPr>
          <w:p>
            <w:r>
              <w:rPr>
                <w:b/>
                <w:color w:val="FFFFFF"/>
              </w:rPr>
              <w:t>Escenario</w:t>
            </w:r>
          </w:p>
        </w:tc>
        <w:tc>
          <w:tcPr>
            <w:tcW w:type="dxa" w:w="3312"/>
            <w:shd w:fill="1F4E78"/>
            <w:vAlign w:val="center"/>
          </w:tcPr>
          <w:p>
            <w:r>
              <w:rPr>
                <w:b/>
                <w:color w:val="FFFFFF"/>
              </w:rPr>
              <w:t>Modelo posible en simulación</w:t>
            </w:r>
          </w:p>
        </w:tc>
        <w:tc>
          <w:tcPr>
            <w:tcW w:type="dxa" w:w="3312"/>
            <w:shd w:fill="1F4E78"/>
            <w:vAlign w:val="center"/>
          </w:tcPr>
          <w:p>
            <w:r>
              <w:rPr>
                <w:b/>
                <w:color w:val="FFFFFF"/>
              </w:rPr>
              <w:t>Objetivo</w:t>
            </w:r>
          </w:p>
        </w:tc>
      </w:tr>
      <w:tr>
        <w:tc>
          <w:tcPr>
            <w:tcW w:type="dxa" w:w="3312"/>
            <w:vAlign w:val="center"/>
          </w:tcPr>
          <w:p>
            <w:r>
              <w:t>Ideal</w:t>
            </w:r>
          </w:p>
        </w:tc>
        <w:tc>
          <w:tcPr>
            <w:tcW w:type="dxa" w:w="3312"/>
            <w:vAlign w:val="center"/>
          </w:tcPr>
          <w:p>
            <w:r>
              <w:t>Sin error</w:t>
            </w:r>
          </w:p>
        </w:tc>
        <w:tc>
          <w:tcPr>
            <w:tcW w:type="dxa" w:w="3312"/>
            <w:vAlign w:val="center"/>
          </w:tcPr>
          <w:p>
            <w:r>
              <w:t>Referencia superior</w:t>
            </w:r>
          </w:p>
        </w:tc>
      </w:tr>
      <w:tr>
        <w:tc>
          <w:tcPr>
            <w:tcW w:type="dxa" w:w="3312"/>
            <w:vAlign w:val="center"/>
          </w:tcPr>
          <w:p>
            <w:r>
              <w:t>GNSS convencional</w:t>
            </w:r>
          </w:p>
        </w:tc>
        <w:tc>
          <w:tcPr>
            <w:tcW w:type="dxa" w:w="3312"/>
            <w:vAlign w:val="center"/>
          </w:tcPr>
          <w:p>
            <w:r>
              <w:t>Ruido/offset del orden de metros</w:t>
            </w:r>
          </w:p>
        </w:tc>
        <w:tc>
          <w:tcPr>
            <w:tcW w:type="dxa" w:w="3312"/>
            <w:vAlign w:val="center"/>
          </w:tcPr>
          <w:p>
            <w:r>
              <w:t>Mostrar limitación de baja precisión</w:t>
            </w:r>
          </w:p>
        </w:tc>
      </w:tr>
      <w:tr>
        <w:tc>
          <w:tcPr>
            <w:tcW w:type="dxa" w:w="3312"/>
            <w:vAlign w:val="center"/>
          </w:tcPr>
          <w:p>
            <w:r>
              <w:t>GNSS + odometría + IMU</w:t>
            </w:r>
          </w:p>
        </w:tc>
        <w:tc>
          <w:tcPr>
            <w:tcW w:type="dxa" w:w="3312"/>
            <w:vAlign w:val="center"/>
          </w:tcPr>
          <w:p>
            <w:r>
              <w:t>Error reducido y deriva modelada</w:t>
            </w:r>
          </w:p>
        </w:tc>
        <w:tc>
          <w:tcPr>
            <w:tcW w:type="dxa" w:w="3312"/>
            <w:vAlign w:val="center"/>
          </w:tcPr>
          <w:p>
            <w:r>
              <w:t>Evaluar fusión/localización local</w:t>
            </w:r>
          </w:p>
        </w:tc>
      </w:tr>
      <w:tr>
        <w:tc>
          <w:tcPr>
            <w:tcW w:type="dxa" w:w="3312"/>
            <w:vAlign w:val="center"/>
          </w:tcPr>
          <w:p>
            <w:r>
              <w:t>RTK-GNSS</w:t>
            </w:r>
          </w:p>
        </w:tc>
        <w:tc>
          <w:tcPr>
            <w:tcW w:type="dxa" w:w="3312"/>
            <w:vAlign w:val="center"/>
          </w:tcPr>
          <w:p>
            <w:r>
              <w:t>Error centimétrico parametrizado</w:t>
            </w:r>
          </w:p>
        </w:tc>
        <w:tc>
          <w:tcPr>
            <w:tcW w:type="dxa" w:w="3312"/>
            <w:vAlign w:val="center"/>
          </w:tcPr>
          <w:p>
            <w:r>
              <w:t>Escenario de alta precisión</w:t>
            </w:r>
          </w:p>
        </w:tc>
      </w:tr>
    </w:tbl>
    <w:p>
      <w:r>
        <w:rPr>
          <w:b w:val="0"/>
          <w:i w:val="0"/>
        </w:rPr>
        <w:t>No se fijan aquí valores definitivos de error: deberán elegirse a partir de especificaciones reales de los sensores o bibliografía que se utilice en la implementación.</w:t>
      </w:r>
    </w:p>
    <w:p>
      <w:pPr>
        <w:pStyle w:val="Heading1"/>
      </w:pPr>
      <w:r>
        <w:t>10. Métricas propuestas para la validación</w:t>
      </w:r>
    </w:p>
    <w:p>
      <w:pPr>
        <w:pStyle w:val="ListBullet"/>
      </w:pPr>
      <w:r>
        <w:t>Consumo total de fungicida respecto de una pulverización continua.</w:t>
      </w:r>
    </w:p>
    <w:p>
      <w:pPr>
        <w:pStyle w:val="ListBullet"/>
      </w:pPr>
      <w:r>
        <w:t>Porcentaje de ahorro de producto.</w:t>
      </w:r>
    </w:p>
    <w:p>
      <w:pPr>
        <w:pStyle w:val="ListBullet"/>
      </w:pPr>
      <w:r>
        <w:t>Cobertura de la zona prescrita.</w:t>
      </w:r>
    </w:p>
    <w:p>
      <w:pPr>
        <w:pStyle w:val="ListBullet"/>
      </w:pPr>
      <w:r>
        <w:t>Sobretratamiento: superficie pulverizada que quedó fuera de la prescripción.</w:t>
      </w:r>
    </w:p>
    <w:p>
      <w:pPr>
        <w:pStyle w:val="ListBullet"/>
      </w:pPr>
      <w:r>
        <w:t>Error espacial entre zona objetivo y zona efectivamente tratada.</w:t>
      </w:r>
    </w:p>
    <w:p>
      <w:pPr>
        <w:pStyle w:val="ListBullet"/>
      </w:pPr>
      <w:r>
        <w:t>Sensibilidad de los resultados al error de localización.</w:t>
      </w:r>
    </w:p>
    <w:p>
      <w:pPr>
        <w:pStyle w:val="ListBullet"/>
      </w:pPr>
      <w:r>
        <w:t>Sensibilidad al umbral R_crit y a los parámetros del modelo de riesgo.</w:t>
      </w:r>
    </w:p>
    <w:p>
      <w:pPr>
        <w:pStyle w:val="ListBullet"/>
      </w:pPr>
      <w:r>
        <w:t>Cantidad de zonas fusionadas por superposición de focos.</w:t>
      </w:r>
    </w:p>
    <w:p>
      <w:pPr>
        <w:jc w:val="center"/>
      </w:pPr>
      <w:r>
        <w:rPr>
          <w:rFonts w:ascii="Cambria Math" w:hAnsi="Cambria Math"/>
          <w:b/>
          <w:sz w:val="22"/>
        </w:rPr>
        <w:t>Ahorro (%) = (V_continuo − V_selectivo) / V_continuo · 100</w:t>
      </w:r>
    </w:p>
    <w:p>
      <w:pPr>
        <w:jc w:val="center"/>
      </w:pPr>
      <w:r>
        <w:rPr>
          <w:rFonts w:ascii="Cambria Math" w:hAnsi="Cambria Math"/>
          <w:b/>
          <w:sz w:val="22"/>
        </w:rPr>
        <w:t>Cobertura = Área(objetivo ∩ tratada) / Área(objetivo)</w:t>
      </w:r>
    </w:p>
    <w:p>
      <w:pPr>
        <w:pStyle w:val="Heading1"/>
      </w:pPr>
      <w:r>
        <w:t>11. Flujo de trabajo propuesto</w:t>
      </w:r>
    </w:p>
    <w:p>
      <w:pPr>
        <w:pStyle w:val="ListNumber"/>
      </w:pPr>
      <w:r>
        <w:t>Finalizar y validar el detector de oídio sobre video real.</w:t>
      </w:r>
    </w:p>
    <w:p>
      <w:pPr>
        <w:pStyle w:val="ListNumber"/>
      </w:pPr>
      <w:r>
        <w:t>Definir protocolo de grabación de campo: velocidad aproximada, hilera, orientación, timestamps y, si es posible, registro de GNSS.</w:t>
      </w:r>
    </w:p>
    <w:p>
      <w:pPr>
        <w:pStyle w:val="ListNumber"/>
      </w:pPr>
      <w:r>
        <w:t>Implementar tracking/agrupamiento para transformar detecciones por frame en focos únicos.</w:t>
      </w:r>
    </w:p>
    <w:p>
      <w:pPr>
        <w:pStyle w:val="ListNumber"/>
      </w:pPr>
      <w:r>
        <w:t>Asociar cada foco a una coordenada local de hilera y conservar variables meteorológicas del momento de scouting.</w:t>
      </w:r>
    </w:p>
    <w:p>
      <w:pPr>
        <w:pStyle w:val="ListNumber"/>
      </w:pPr>
      <w:r>
        <w:t>Implementar en Python una versión reducida del modelo de dispersión/riesgo.</w:t>
      </w:r>
    </w:p>
    <w:p>
      <w:pPr>
        <w:pStyle w:val="ListNumber"/>
      </w:pPr>
      <w:r>
        <w:t>Transformar el campo de riesgo en segmentos de prescripción mediante un umbral parametrizable.</w:t>
      </w:r>
    </w:p>
    <w:p>
      <w:pPr>
        <w:pStyle w:val="ListNumber"/>
      </w:pPr>
      <w:r>
        <w:t>Construir en Webots una hilera simplificada, un vehículo y una barra de pulverización.</w:t>
      </w:r>
    </w:p>
    <w:p>
      <w:pPr>
        <w:pStyle w:val="ListNumber"/>
      </w:pPr>
      <w:r>
        <w:t>Implementar la segunda pasada utilizando mapa de prescripción + localización simulada.</w:t>
      </w:r>
    </w:p>
    <w:p>
      <w:pPr>
        <w:pStyle w:val="ListNumber"/>
      </w:pPr>
      <w:r>
        <w:t>Incorporar errores GNSS/odometría y comparar escenarios.</w:t>
      </w:r>
    </w:p>
    <w:p>
      <w:pPr>
        <w:pStyle w:val="ListNumber"/>
      </w:pPr>
      <w:r>
        <w:t>Calcular métricas y comparar con pulverización continua.</w:t>
      </w:r>
    </w:p>
    <w:p>
      <w:pPr>
        <w:pStyle w:val="Heading1"/>
      </w:pPr>
      <w:r>
        <w:t>12. Arquitectura general consolidada</w:t>
      </w:r>
    </w:p>
    <w:p>
      <w:pPr>
        <w:pStyle w:val="CodeBlock"/>
        <w:ind w:left="360" w:right="360"/>
      </w:pPr>
      <w:r>
        <w:t xml:space="preserve">                          PASADA 1 – SCOUTING</w:t>
        <w:br/>
        <w:br/>
        <w:t xml:space="preserve"> VIDEO REAL → YOLO → TRACKING → GEOLOCALIZACIÓN → FOCOS ÚNICOS</w:t>
        <w:br/>
        <w:t xml:space="preserve">                                             │</w:t>
        <w:br/>
        <w:t xml:space="preserve">                                             ▼</w:t>
        <w:br/>
        <w:t xml:space="preserve">                                 MODELO DE DISPERSIÓN</w:t>
        <w:br/>
        <w:t xml:space="preserve">                              viento + dirección + distancia</w:t>
        <w:br/>
        <w:t xml:space="preserve">                                             │</w:t>
        <w:br/>
        <w:t xml:space="preserve">                                             ▼</w:t>
        <w:br/>
        <w:t xml:space="preserve">                              MODELO DE FAVORABILIDAD</w:t>
        <w:br/>
        <w:t xml:space="preserve">                               temperatura + otros factores</w:t>
        <w:br/>
        <w:t xml:space="preserve">                                             │</w:t>
        <w:br/>
        <w:t xml:space="preserve">                                             ▼</w:t>
        <w:br/>
        <w:t xml:space="preserve">                                     MAPA DE RIESGO</w:t>
        <w:br/>
        <w:t xml:space="preserve">                                             │</w:t>
        <w:br/>
        <w:t xml:space="preserve">                                        R ≥ Rcrit</w:t>
        <w:br/>
        <w:t xml:space="preserve">                                             │</w:t>
        <w:br/>
        <w:t xml:space="preserve">                                             ▼</w:t>
        <w:br/>
        <w:t xml:space="preserve">                                  MAPA DE PRESCRIPCIÓN</w:t>
        <w:br/>
        <w:br/>
        <w:t xml:space="preserve">                          PASADA 2 – TRATAMIENTO</w:t>
        <w:br/>
        <w:br/>
        <w:t xml:space="preserve"> MAPA DE PRESCRIPCIÓN + GNSS/ODOMETRÍA/IMU → CONTROLADOR → BOQUILLAS</w:t>
        <w:br/>
        <w:t xml:space="preserve">                                                        │</w:t>
        <w:br/>
        <w:t xml:space="preserve">                                                        ▼</w:t>
        <w:br/>
        <w:t xml:space="preserve">                                              CANOPIA COMPLETA</w:t>
        <w:br/>
        <w:t xml:space="preserve">                                                        │</w:t>
        <w:br/>
        <w:t xml:space="preserve">                                                        ▼</w:t>
        <w:br/>
        <w:t xml:space="preserve">                                                MÉTRICAS / AHORRO</w:t>
      </w:r>
    </w:p>
    <w:p>
      <w:pPr>
        <w:pStyle w:val="Heading1"/>
      </w:pPr>
      <w:r>
        <w:t>13. Alcance sugerido del PFE</w:t>
      </w:r>
    </w:p>
    <w:p>
      <w:r>
        <w:rPr>
          <w:b w:val="0"/>
          <w:i w:val="0"/>
        </w:rPr>
        <w:t>El núcleo defendible del proyecto puede quedar acotado a: detección real mediante IA, generación de focos espacializados, cálculo de una zona de riesgo simplificada basada en literatura, creación de un mapa de prescripción y simulación de una segunda pasada que ejecuta dicho mapa. La navegación autónoma avanzada, SLAM, CFD de gotas y validación biológica en campo pueden declararse como trabajos futuros.</w:t>
      </w:r>
    </w:p>
    <w:p>
      <w:r>
        <w:rPr>
          <w:b w:val="0"/>
          <w:i w:val="0"/>
        </w:rPr>
        <w:t>Esta delimitación conserva una fuerte integración mecatrónica: visión, procesamiento, modelado epidemiológico simplificado, localización, planificación, control de actuadores, simulación y evaluación cuantitativa.</w:t>
      </w:r>
    </w:p>
    <w:p>
      <w:pPr>
        <w:pStyle w:val="Heading1"/>
      </w:pPr>
      <w:r>
        <w:t>14. Observaciones críticas y decisiones todavía abiertas</w:t>
      </w:r>
    </w:p>
    <w:p>
      <w:pPr>
        <w:pStyle w:val="ListBullet"/>
      </w:pPr>
      <w:r>
        <w:t>El modelo completo de Calonnec es más complejo que lo necesario para el PFE. Debe definirse qué ecuaciones conservar y cuáles reemplazar por aproximaciones de ingeniería.</w:t>
      </w:r>
    </w:p>
    <w:p>
      <w:pPr>
        <w:pStyle w:val="ListBullet"/>
      </w:pPr>
      <w:r>
        <w:t>El parámetro de umbral R_crit no debe presentarse como una verdad agronómica universal si no existe validación experimental específica. Debe tratarse como parámetro de diseño o calibrarse con asesoramiento agronómico.</w:t>
      </w:r>
    </w:p>
    <w:p>
      <w:pPr>
        <w:pStyle w:val="ListBullet"/>
      </w:pPr>
      <w:r>
        <w:t>Debe definirse si la prescripción será por planta individual, por segmentos longitudinales de hilera o por polígonos 2D. Para Webots y el control inicial, los segmentos longitudinales son la opción más simple.</w:t>
      </w:r>
    </w:p>
    <w:p>
      <w:pPr>
        <w:pStyle w:val="ListBullet"/>
      </w:pPr>
      <w:r>
        <w:t>Las variables meteorológicas de la primera pasada deberían quedar registradas junto con cada foco, ya que representan las condiciones bajo las cuales pudo ocurrir la dispersión previa.</w:t>
      </w:r>
    </w:p>
    <w:p>
      <w:pPr>
        <w:pStyle w:val="ListBullet"/>
      </w:pPr>
      <w:r>
        <w:t>Si la segunda pasada ocurre horas o días después, deberá decidirse si el mapa se mantiene fijo o si se aplica un margen adicional debido al posible avance de la enfermedad entre ambas pasadas.</w:t>
      </w:r>
    </w:p>
    <w:p>
      <w:pPr>
        <w:pStyle w:val="Heading1"/>
      </w:pPr>
      <w:r>
        <w:t>15. Literatura y antecedentes relevantes</w:t>
      </w:r>
    </w:p>
    <w:p>
      <w:pPr>
        <w:pStyle w:val="ListBullet"/>
      </w:pPr>
      <w:r>
        <w:rPr>
          <w:b/>
        </w:rPr>
        <w:t>Calonnec, A., Cartolaro, P., Naulin, J.-M., Bailey, D. &amp; Langlais, M. (2008). A host-pathogen simulation model: powdery mildew of grapevine. Plant Pathology. DOI: 10.1111/j.1365-3059.2007.01783.x</w:t>
      </w:r>
      <w:r>
        <w:t xml:space="preserve"> Modelo mecanístico de vid–oídio con temperatura, viento, dirección y dispersión espacial de conidias.</w:t>
      </w:r>
    </w:p>
    <w:p>
      <w:pPr>
        <w:pStyle w:val="ListBullet"/>
      </w:pPr>
      <w:r>
        <w:rPr>
          <w:b/>
        </w:rPr>
        <w:t>Oberti, R. et al. (2016). Selective spraying of grapevines for disease control using a modular agricultural robot. Biosystems Engineering, 146, 203–215. DOI: 10.1016/j.biosystemseng.2015.12.004</w:t>
      </w:r>
      <w:r>
        <w:t xml:space="preserve"> Antecedente de detección y pulverización robótica selectiva de oídio. Los autores evaluaron deposición sobre objetivos; la eficacia biológica quedó fuera del alcance del trabajo.</w:t>
      </w:r>
    </w:p>
    <w:p>
      <w:pPr>
        <w:pStyle w:val="ListBullet"/>
      </w:pPr>
      <w:r>
        <w:rPr>
          <w:b/>
        </w:rPr>
        <w:t>Willocquet, L. et al. (1998). Effects of wind, relative humidity, leaf movement and colony age on dispersal of conidia of Uncinula necator. Plant Pathology.</w:t>
      </w:r>
      <w:r>
        <w:t xml:space="preserve"> Antecedente experimental sobre liberación/dispersión de conidias y el papel del viento.</w:t>
      </w:r>
    </w:p>
    <w:p>
      <w:pPr>
        <w:pStyle w:val="ListBullet"/>
      </w:pPr>
      <w:r>
        <w:rPr>
          <w:b/>
        </w:rPr>
        <w:t>Antecedentes recientes de robots de scouting y disease mapping en viñedos, como PhytoPatholoBot.</w:t>
      </w:r>
      <w:r>
        <w:t xml:space="preserve"> Apoyan la arquitectura de inspección autónoma/semi-autónoma y generación de mapas de enfermedad como etapa separada de la actuación.</w:t>
      </w:r>
    </w:p>
    <w:p>
      <w:pPr>
        <w:pStyle w:val="ListBullet"/>
      </w:pPr>
      <w:r>
        <w:rPr>
          <w:b/>
        </w:rPr>
        <w:t>Modelos meteorológicos de riesgo de oídio desarrollados con datos de viñedos de Mendoza (INTA/UNCuyo).</w:t>
      </w:r>
      <w:r>
        <w:t xml:space="preserve"> Pueden aportar criterios regionales de favorabilidad epidemiológica, especialmente para temperatura, humedad y eventos meteorológicos.</w:t>
      </w:r>
    </w:p>
    <w:p>
      <w:pPr>
        <w:pStyle w:val="Heading1"/>
      </w:pPr>
      <w:r>
        <w:t>16. Conclusión de diseño</w:t>
      </w:r>
    </w:p>
    <w:p>
      <w:r>
        <w:rPr>
          <w:b w:val="0"/>
          <w:i w:val="0"/>
        </w:rPr>
        <w:t>La arquitectura de dos pasadas aparece como una opción especialmente sólida para este PFE porque elimina la restricción geométrica de la cámara adelantada, permite construir zonas de tratamiento a ambos lados del foco y facilita incorporar un modelo de riesgo espacial. La primera pasada se convierte en un proceso de percepción y mapeo; la segunda, en un problema de localización y actuación precisa. Webots puede unir ambas etapas dentro de un gemelo digital visual y cuantificable.</w:t>
      </w:r>
    </w:p>
    <w:p>
      <w:r>
        <w:rPr>
          <w:b w:val="0"/>
          <w:i w:val="0"/>
        </w:rPr>
        <w:t>La siguiente tarea recomendada es reducir el modelo de Calonnec a una formulación implementable en Python y definir exactamente qué datos meteorológicos y espaciales necesita cada foco para producir el mapa de prescripción.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PFE Ingeniería Mecatrónica – Nicolás E. Sorrentino | Documento de trabajo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simulación y modelo de riesgo para PFE de pulverización selectiva de oídio</dc:title>
  <dc:subject>Arquitectura de dos pasadas, modelo de riesgo espacial, mapa de prescripción y simulación Webots</dc:subject>
  <dc:creator>Nicolás Ezequiel Sorrentino</dc:creator>
  <cp:keywords/>
  <dc:description>generated by python-docx</dc:description>
  <cp:lastModifiedBy/>
  <cp:revision>1</cp:revision>
  <dcterms:created xsi:type="dcterms:W3CDTF">2013-12-23T23:15:00Z</dcterms:created>
  <dcterms:modified xsi:type="dcterms:W3CDTF">2013-12-23T23:15:00Z</dcterms:modified>
  <cp:category/>
</cp:coreProperties>
</file>