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Point 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lower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upper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CDRISC_25_T0_sum ← TAQ_Pos_a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4.020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CDRISC_25_T0_sum ← TAQ_Pos_b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7.437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CDRISC_25_T0_sum ← TAQ_Pos_c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10.697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CDRISC_25_T0_sum ← TAQ_Neg_a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3.388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CDRISC_25_T0_sum ← TAQ_Neg_b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3.506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CDRISC_25_T0_sum ← TAQ_Neg_c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4.109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BDI_T0_Gesamt ← TAQ_Pos_a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2.536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BDI_T0_Gesamt ← TAQ_Pos_b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BDI_T0_Gesamt ← TAQ_Pos_c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-1.713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BDI_T0_Gesamt ← TAQ_Neg_a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4.514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BDI_T0_Gesamt ← TAQ_Neg_b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6.773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BDI_T0_Gesamt ← TAQ_Neg_c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8.438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nicosteffen</cp:lastModifiedBy>
  <cp:revision>9</cp:revision>
  <dcterms:created xsi:type="dcterms:W3CDTF">2017-02-28T11:18:00Z</dcterms:created>
  <dcterms:modified xsi:type="dcterms:W3CDTF">2026-10-23T12:50:17Z</dcterms:modified>
  <cp:category/>
</cp:coreProperties>
</file>