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Discovery sample (n = 133)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 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(56.4%)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(43.6%)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 depression, recurrent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(73.7%)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Major depression, single episode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(26.3%)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39.89 ± 14.76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at onset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28.15 ± 13.76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Comorbidities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± 0.49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 ± 5.54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Medication: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(21.8%)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Medication: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(78.2%)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(21.0%)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(79.0%)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Antipsychotics: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(64.8%)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Antipsychotics: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(35.2%)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Benzodiazepines: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(81.9%)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Benzodiazepines: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(18.1%)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TAQ+ (adaptive)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 ± 1.78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TAQ- (adverse)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 ± 1.62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CD-RISC-25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41.10 ± 13.98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CD-RISC-10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14.99 ± 6.20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BDI-II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25.31 ± 10.75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2026-08-26T15:16:31Z</dcterms:modified>
  <cp:category/>
</cp:coreProperties>
</file>