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D7377"/>
          <w:sz w:val="22"/>
        </w:rPr>
        <w:t>GROUP 28  ·  CSIT321</w:t>
      </w:r>
    </w:p>
    <w:p>
      <w:r>
        <w:rPr>
          <w:b/>
          <w:color w:val="1B3A6B"/>
          <w:sz w:val="60"/>
        </w:rPr>
        <w:t>System Functionality</w:t>
      </w:r>
    </w:p>
    <w:p>
      <w:r>
        <w:rPr>
          <w:color w:val="6B7A99"/>
          <w:sz w:val="24"/>
        </w:rPr>
        <w:t>Certacito.ai  ·  A4 Prototype Presentation appendix</w:t>
      </w:r>
    </w:p>
    <w:p/>
    <w:p>
      <w:pPr>
        <w:spacing w:after="40"/>
      </w:pPr>
      <w:r>
        <w:rPr>
          <w:b/>
          <w:color w:val="1B3A6B"/>
          <w:sz w:val="20"/>
        </w:rPr>
        <w:t xml:space="preserve">Project   </w:t>
      </w:r>
      <w:r>
        <w:rPr>
          <w:color w:val="6B7A99"/>
          <w:sz w:val="20"/>
        </w:rPr>
        <w:t>Certacito.ai, AI agent governance platform</w:t>
      </w:r>
    </w:p>
    <w:p>
      <w:pPr>
        <w:spacing w:after="40"/>
      </w:pPr>
      <w:r>
        <w:rPr>
          <w:b/>
          <w:color w:val="1B3A6B"/>
          <w:sz w:val="20"/>
        </w:rPr>
        <w:t xml:space="preserve">Document   </w:t>
      </w:r>
      <w:r>
        <w:rPr>
          <w:color w:val="6B7A99"/>
          <w:sz w:val="20"/>
        </w:rPr>
        <w:t>functionality.md</w:t>
      </w:r>
    </w:p>
    <w:p>
      <w:pPr>
        <w:spacing w:after="40"/>
      </w:pPr>
      <w:r>
        <w:rPr>
          <w:b/>
          <w:color w:val="1B3A6B"/>
          <w:sz w:val="20"/>
        </w:rPr>
        <w:t xml:space="preserve">Date   </w:t>
      </w:r>
      <w:r>
        <w:rPr>
          <w:color w:val="6B7A99"/>
          <w:sz w:val="20"/>
        </w:rPr>
        <w:t>07 August 2026</w:t>
      </w:r>
    </w:p>
    <w:p>
      <w:pPr>
        <w:spacing w:after="40"/>
      </w:pPr>
      <w:r>
        <w:rPr>
          <w:b/>
          <w:color w:val="1B3A6B"/>
          <w:sz w:val="20"/>
        </w:rPr>
        <w:t xml:space="preserve">Live system   </w:t>
      </w:r>
      <w:r>
        <w:rPr>
          <w:color w:val="6B7A99"/>
          <w:sz w:val="20"/>
        </w:rPr>
        <w:t>http://20.92.93.30</w:t>
      </w:r>
    </w:p>
    <w:p>
      <w:r>
        <w:br w:type="page"/>
      </w:r>
    </w:p>
    <w:p>
      <w:pPr>
        <w:spacing w:after="120"/>
      </w:pPr>
      <w:r>
        <w:t>A4 appendix. What the system does today and how each kind of user is expected to</w:t>
      </w:r>
    </w:p>
    <w:p>
      <w:pPr>
        <w:spacing w:after="120"/>
      </w:pPr>
      <w:r>
        <w:t>interact with it. FR numbers refer to the RTM (</w:t>
      </w:r>
      <w:r>
        <w:rPr>
          <w:rFonts w:ascii="Courier New" w:hAnsi="Courier New"/>
          <w:color w:val="1B3A6B"/>
          <w:sz w:val="18"/>
        </w:rPr>
        <w:t>docs/requirements-traceability.md</w:t>
      </w:r>
      <w:r>
        <w:t>).</w:t>
      </w:r>
    </w:p>
    <w:p>
      <w:pPr>
        <w:spacing w:before="280"/>
      </w:pPr>
      <w:r>
        <w:rPr>
          <w:b/>
          <w:color w:val="1B3A6B"/>
          <w:sz w:val="26"/>
        </w:rPr>
        <w:t>1.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type="dxa" w:w="5328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HOW THEY TOUCH THE SYSTEM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AI agent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Machine caller. POSTs intended actions to </w:t>
            </w:r>
            <w:r>
              <w:rPr>
                <w:rFonts w:ascii="Courier New" w:hAnsi="Courier New"/>
                <w:color w:val="1B3A6B"/>
                <w:sz w:val="16"/>
              </w:rPr>
              <w:t>/api/v1/intercept</w:t>
            </w:r>
            <w:r>
              <w:rPr>
                <w:sz w:val="16"/>
              </w:rPr>
              <w:t xml:space="preserve"> with an </w:t>
            </w:r>
            <w:r>
              <w:rPr>
                <w:rFonts w:ascii="Courier New" w:hAnsi="Courier New"/>
                <w:color w:val="1B3A6B"/>
                <w:sz w:val="16"/>
              </w:rPr>
              <w:t>X-API-Key</w:t>
            </w:r>
            <w:r>
              <w:rPr>
                <w:sz w:val="16"/>
              </w:rPr>
              <w:t xml:space="preserve"> before executing them, and obeys the PERMIT/DENY/ESCALATE answer.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Administrator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Full console access: policies, users, agents, approvals, reports.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Analyst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Reviews approvals, reads audit/reports, manages day-to-day governance. Cannot manage users or delete policies.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Viewer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Read-only visibility across dashboard, audit and reports.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2. The core loop (FR-01..FR-06)</w:t>
      </w:r>
    </w:p>
    <w:p>
      <w:pPr>
        <w:pStyle w:val="ListNumber"/>
        <w:spacing w:after="40"/>
      </w:pPr>
      <w:r>
        <w:t>An agent wants to act (read a dataset, call an API, write files, send email...).</w:t>
      </w:r>
    </w:p>
    <w:p>
      <w:pPr>
        <w:pStyle w:val="ListNumber"/>
        <w:spacing w:after="40"/>
      </w:pPr>
      <w:r>
        <w:t>The hook/SDK intercepts the action pre-execution and sends it to Certacito.</w:t>
      </w:r>
    </w:p>
    <w:p>
      <w:pPr>
        <w:pStyle w:val="ListNumber"/>
        <w:spacing w:after="40"/>
      </w:pPr>
      <w:r>
        <w:t>Semantic guard (FR-08) checks content, risk classifier (FR-09) scores it,</w:t>
      </w:r>
    </w:p>
    <w:p>
      <w:pPr>
        <w:spacing w:after="120"/>
      </w:pPr>
      <w:r>
        <w:t xml:space="preserve">   policy engine (FR-02) matches the rules.</w:t>
      </w:r>
    </w:p>
    <w:p>
      <w:pPr>
        <w:pStyle w:val="ListNumber"/>
        <w:spacing w:after="40"/>
      </w:pPr>
      <w:r>
        <w:rPr>
          <w:b/>
          <w:color w:val="1B3A6B"/>
        </w:rPr>
        <w:t>PERMIT</w:t>
      </w:r>
      <w:r>
        <w:t xml:space="preserve"> - agent proceeds. </w:t>
      </w:r>
      <w:r>
        <w:rPr>
          <w:b/>
          <w:color w:val="1B3A6B"/>
        </w:rPr>
        <w:t>DENY</w:t>
      </w:r>
      <w:r>
        <w:t xml:space="preserve"> - agent is blocked. </w:t>
      </w:r>
      <w:r>
        <w:rPr>
          <w:b/>
          <w:color w:val="1B3A6B"/>
        </w:rPr>
        <w:t>ESCALATE</w:t>
      </w:r>
      <w:r>
        <w:t xml:space="preserve"> (FR-05) -</w:t>
      </w:r>
    </w:p>
    <w:p>
      <w:pPr>
        <w:spacing w:after="120"/>
      </w:pPr>
      <w:r>
        <w:t xml:space="preserve">   action pauses into the approval queue with an SLA countdown.</w:t>
      </w:r>
    </w:p>
    <w:p>
      <w:pPr>
        <w:pStyle w:val="ListNumber"/>
        <w:spacing w:after="40"/>
      </w:pPr>
      <w:r>
        <w:t>A human approves or denies from the queue; SLA expiry auto-rejects (fail-closed).</w:t>
      </w:r>
    </w:p>
    <w:p>
      <w:pPr>
        <w:pStyle w:val="ListNumber"/>
        <w:spacing w:after="40"/>
      </w:pPr>
      <w:r>
        <w:t>Every decision lands in the hash-chained audit log (FR-03) and appears on the</w:t>
      </w:r>
    </w:p>
    <w:p>
      <w:pPr>
        <w:spacing w:after="120"/>
      </w:pPr>
      <w:r>
        <w:t xml:space="preserve">   dashboard within two seconds (FR-06) via WebSocket push.</w:t>
      </w:r>
    </w:p>
    <w:p>
      <w:pPr>
        <w:spacing w:before="280"/>
      </w:pPr>
      <w:r>
        <w:rPr>
          <w:b/>
          <w:color w:val="1B3A6B"/>
          <w:sz w:val="26"/>
        </w:rPr>
        <w:t>3. Expected interaction, screen by screen</w:t>
      </w:r>
    </w:p>
    <w:p>
      <w:pPr>
        <w:spacing w:after="120"/>
      </w:pPr>
      <w:r>
        <w:rPr>
          <w:b/>
          <w:color w:val="1B3A6B"/>
        </w:rPr>
        <w:t>Landing page</w:t>
      </w:r>
      <w:r>
        <w:t xml:space="preserve"> - public. Explains the product, "Log in" enters the console.</w:t>
      </w:r>
    </w:p>
    <w:p>
      <w:pPr>
        <w:spacing w:after="120"/>
      </w:pPr>
      <w:r>
        <w:rPr>
          <w:b/>
          <w:color w:val="1B3A6B"/>
        </w:rPr>
        <w:t>Sign-in</w:t>
      </w:r>
      <w:r>
        <w:t xml:space="preserve"> - email + password (demo: </w:t>
      </w:r>
      <w:r>
        <w:rPr>
          <w:rFonts w:ascii="Courier New" w:hAnsi="Courier New"/>
          <w:color w:val="1B3A6B"/>
          <w:sz w:val="18"/>
        </w:rPr>
        <w:t>admin@certacito.ai</w:t>
      </w:r>
      <w:r>
        <w:t xml:space="preserve"> / </w:t>
      </w:r>
      <w:r>
        <w:rPr>
          <w:rFonts w:ascii="Courier New" w:hAnsi="Courier New"/>
          <w:color w:val="1B3A6B"/>
          <w:sz w:val="18"/>
        </w:rPr>
        <w:t>test123</w:t>
      </w:r>
      <w:r>
        <w:t>). Wrong</w:t>
      </w:r>
    </w:p>
    <w:p>
      <w:pPr>
        <w:spacing w:after="120"/>
      </w:pPr>
      <w:r>
        <w:t>creds get a generic error; the login endpoint is rate-limited (10/min) against</w:t>
      </w:r>
    </w:p>
    <w:p>
      <w:pPr>
        <w:spacing w:after="120"/>
      </w:pPr>
      <w:r>
        <w:t>brute force.</w:t>
      </w:r>
    </w:p>
    <w:p>
      <w:pPr>
        <w:spacing w:after="120"/>
      </w:pPr>
      <w:r>
        <w:rPr>
          <w:b/>
          <w:color w:val="1B3A6B"/>
        </w:rPr>
        <w:t>Agent Overview</w:t>
      </w:r>
      <w:r>
        <w:t xml:space="preserve"> - first screen after login. Card per registered agent: status,</w:t>
      </w:r>
    </w:p>
    <w:p>
      <w:pPr>
        <w:spacing w:after="120"/>
      </w:pPr>
      <w:r>
        <w:t>risk tier, compliance score, violation count. Scan-level view; "View in Registry"</w:t>
      </w:r>
    </w:p>
    <w:p>
      <w:pPr>
        <w:spacing w:after="120"/>
      </w:pPr>
      <w:r>
        <w:t>jumps to management.</w:t>
      </w:r>
    </w:p>
    <w:p>
      <w:pPr>
        <w:spacing w:after="120"/>
      </w:pPr>
      <w:r>
        <w:rPr>
          <w:b/>
          <w:color w:val="1B3A6B"/>
        </w:rPr>
        <w:t>Governance Dashboard</w:t>
      </w:r>
      <w:r>
        <w:t xml:space="preserve"> - the compliance officer's home. KPI tiles (intercepted,</w:t>
      </w:r>
    </w:p>
    <w:p>
      <w:pPr>
        <w:spacing w:after="120"/>
      </w:pPr>
      <w:r>
        <w:t>blocked, critical, pending approvals), live activity feed (newest decisions push in</w:t>
      </w:r>
    </w:p>
    <w:p>
      <w:pPr>
        <w:spacing w:after="120"/>
      </w:pPr>
      <w:r>
        <w:t>via the socket), risk breakdown, 7-day decision trend, top violated rules, quick</w:t>
      </w:r>
    </w:p>
    <w:p>
      <w:pPr>
        <w:spacing w:after="120"/>
      </w:pPr>
      <w:r>
        <w:t>actions. Clicking a feed item or "View queue" deep-links to the relevant screen.</w:t>
      </w:r>
    </w:p>
    <w:p>
      <w:pPr>
        <w:spacing w:after="120"/>
      </w:pPr>
      <w:r>
        <w:rPr>
          <w:b/>
          <w:color w:val="1B3A6B"/>
        </w:rPr>
        <w:t>Audit Log</w:t>
      </w:r>
      <w:r>
        <w:t xml:space="preserve"> - the evidence screen. Filter by search text, risk, outcome, action</w:t>
      </w:r>
    </w:p>
    <w:p>
      <w:pPr>
        <w:spacing w:after="120"/>
      </w:pPr>
      <w:r>
        <w:t>type. Click a row to expand the full decision record: PII-masked payload, the</w:t>
      </w:r>
    </w:p>
    <w:p>
      <w:pPr>
        <w:spacing w:after="120"/>
      </w:pPr>
      <w:r>
        <w:t>entry's SHA-256 chain hash and its predecessor's, and the decision trail. **Verify</w:t>
      </w:r>
    </w:p>
    <w:p>
      <w:pPr>
        <w:spacing w:after="120"/>
      </w:pPr>
      <w:r>
        <w:t>chain** re-walks the whole chain server-side and reports intact/broken with the</w:t>
      </w:r>
    </w:p>
    <w:p>
      <w:pPr>
        <w:spacing w:after="120"/>
      </w:pPr>
      <w:r>
        <w:t>entry count. Export CSV downloads the filtered view; Export PDF prints it.</w:t>
      </w:r>
    </w:p>
    <w:p>
      <w:pPr>
        <w:spacing w:after="120"/>
      </w:pPr>
      <w:r>
        <w:rPr>
          <w:b/>
          <w:color w:val="1B3A6B"/>
        </w:rPr>
        <w:t>Approval Queue</w:t>
      </w:r>
      <w:r>
        <w:t xml:space="preserve"> - human-in-the-loop. Each pending item shows the agent, the</w:t>
      </w:r>
    </w:p>
    <w:p>
      <w:pPr>
        <w:spacing w:after="120"/>
      </w:pPr>
      <w:r>
        <w:t>masked payload, the matched rule and a live SLA countdown ("until auto-reject").</w:t>
      </w:r>
    </w:p>
    <w:p>
      <w:pPr>
        <w:spacing w:after="120"/>
      </w:pPr>
      <w:r>
        <w:t>Approve/Deny asks for confirmation, is logged permanently and attributes the</w:t>
      </w:r>
    </w:p>
    <w:p>
      <w:pPr>
        <w:spacing w:after="120"/>
      </w:pPr>
      <w:r>
        <w:t>decision to the signed-in reviewer (from the JWT, not the request).</w:t>
      </w:r>
    </w:p>
    <w:p>
      <w:pPr>
        <w:spacing w:after="120"/>
      </w:pPr>
      <w:r>
        <w:rPr>
          <w:b/>
          <w:color w:val="1B3A6B"/>
        </w:rPr>
        <w:t>Policy Rules</w:t>
      </w:r>
      <w:r>
        <w:t xml:space="preserve"> - DevSecOps home. Rule list with action-type filter chips.</w:t>
      </w:r>
    </w:p>
    <w:p>
      <w:pPr>
        <w:spacing w:after="120"/>
      </w:pPr>
      <w:r>
        <w:t>Create/edit rules (name, action type, risk threshold, default outcome, conditions,</w:t>
      </w:r>
    </w:p>
    <w:p>
      <w:pPr>
        <w:spacing w:after="120"/>
      </w:pPr>
      <w:r>
        <w:t>regulatory tag), toggle rules active/disabled (persists via the API), inspect</w:t>
      </w:r>
    </w:p>
    <w:p>
      <w:pPr>
        <w:spacing w:after="120"/>
      </w:pPr>
      <w:r>
        <w:t>version history. A banner reminds that rules are version-controlled config, not</w:t>
      </w:r>
    </w:p>
    <w:p>
      <w:pPr>
        <w:spacing w:after="120"/>
      </w:pPr>
      <w:r>
        <w:t>model prompts. Rule changes take effect on the next intercepted action.</w:t>
      </w:r>
    </w:p>
    <w:p>
      <w:pPr>
        <w:spacing w:after="120"/>
      </w:pPr>
      <w:r>
        <w:rPr>
          <w:b/>
          <w:color w:val="1B3A6B"/>
        </w:rPr>
        <w:t>Agent Registry</w:t>
      </w:r>
      <w:r>
        <w:t xml:space="preserve"> - register agents, edit metadata (model, environment, owner),</w:t>
      </w:r>
    </w:p>
    <w:p>
      <w:pPr>
        <w:spacing w:after="120"/>
      </w:pPr>
      <w:r>
        <w:t>suspend/reactivate instantly. Suspension causes the policy engine to DENY that</w:t>
      </w:r>
    </w:p>
    <w:p>
      <w:pPr>
        <w:spacing w:after="120"/>
      </w:pPr>
      <w:r>
        <w:t>agent's actions.</w:t>
      </w:r>
    </w:p>
    <w:p>
      <w:pPr>
        <w:spacing w:after="120"/>
      </w:pPr>
      <w:r>
        <w:rPr>
          <w:b/>
          <w:color w:val="1B3A6B"/>
        </w:rPr>
        <w:t>Reports &amp; Compliance</w:t>
      </w:r>
      <w:r>
        <w:t xml:space="preserve"> - per-framework compliance scoring (Privacy Act 1988,</w:t>
      </w:r>
    </w:p>
    <w:p>
      <w:pPr>
        <w:spacing w:after="120"/>
      </w:pPr>
      <w:r>
        <w:t>ISO 27001, SOC 2, OWASP LLM Top 10, NIST CSF, ASD Essential 8) computed from the</w:t>
      </w:r>
    </w:p>
    <w:p>
      <w:pPr>
        <w:spacing w:after="120"/>
      </w:pPr>
      <w:r>
        <w:t>audit history, with week-on-week deltas.</w:t>
      </w:r>
    </w:p>
    <w:p>
      <w:pPr>
        <w:spacing w:after="120"/>
      </w:pPr>
      <w:r>
        <w:rPr>
          <w:b/>
          <w:color w:val="1B3A6B"/>
        </w:rPr>
        <w:t>Settings</w:t>
      </w:r>
      <w:r>
        <w:t xml:space="preserve"> - user management (admin only): create users, assign roles.</w:t>
      </w:r>
    </w:p>
    <w:p>
      <w:pPr>
        <w:spacing w:before="280"/>
      </w:pPr>
      <w:r>
        <w:rPr>
          <w:b/>
          <w:color w:val="1B3A6B"/>
          <w:sz w:val="26"/>
        </w:rPr>
        <w:t>4. Demo scenario (repeatable)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POST /api/v1/demo/healthcare-scenario</w:t>
      </w:r>
      <w:r>
        <w:t xml:space="preserve"> replays a scripted GP-office sequence -</w:t>
      </w:r>
    </w:p>
    <w:p>
      <w:pPr>
        <w:spacing w:after="120"/>
      </w:pPr>
      <w:r>
        <w:t>a permitted read, a denied out-of-scope Medicare record access, and an escalated</w:t>
      </w:r>
    </w:p>
    <w:p>
      <w:pPr>
        <w:spacing w:after="120"/>
      </w:pPr>
      <w:r>
        <w:t>bulk export - so a full governance story can be told in ~2 minutes without waiting</w:t>
      </w:r>
    </w:p>
    <w:p>
      <w:pPr>
        <w:spacing w:after="120"/>
      </w:pPr>
      <w:r>
        <w:t>for the simulator. This also stands in for the Group 2 integration (FR-11) until</w:t>
      </w:r>
    </w:p>
    <w:p>
      <w:pPr>
        <w:spacing w:after="120"/>
      </w:pPr>
      <w:r>
        <w:t>their agent API contract lands.</w:t>
      </w:r>
    </w:p>
    <w:p>
      <w:pPr>
        <w:spacing w:before="280"/>
      </w:pPr>
      <w:r>
        <w:rPr>
          <w:b/>
          <w:color w:val="1B3A6B"/>
          <w:sz w:val="26"/>
        </w:rPr>
        <w:t>5. What a user should NOT be able to do (and why we test it)</w:t>
      </w:r>
    </w:p>
    <w:p>
      <w:pPr>
        <w:pStyle w:val="ListBullet"/>
        <w:spacing w:after="40"/>
      </w:pPr>
      <w:r>
        <w:t>A Viewer cannot approve, edit policies or create users (RBAC regression tests).</w:t>
      </w:r>
    </w:p>
    <w:p>
      <w:pPr>
        <w:pStyle w:val="ListBullet"/>
        <w:spacing w:after="40"/>
      </w:pPr>
      <w:r>
        <w:t>Nobody can edit or delete an audit entry through the API - there is no endpoint.</w:t>
      </w:r>
    </w:p>
    <w:p>
      <w:pPr>
        <w:pStyle w:val="ListBullet"/>
        <w:spacing w:after="40"/>
      </w:pPr>
      <w:r>
        <w:t>An agent key cannot call human endpoints, and a JWT-less browser gets 401s.</w:t>
      </w:r>
    </w:p>
    <w:p>
      <w:pPr>
        <w:pStyle w:val="ListBullet"/>
        <w:spacing w:after="40"/>
      </w:pPr>
      <w:r>
        <w:t>Registration is closed: only admins create accounts (first account bootstraps).</w:t>
      </w:r>
    </w:p>
    <w:sectPr w:rsidR="00FC693F" w:rsidRPr="0006063C" w:rsidSect="00034616">
      <w:footerReference w:type="default" r:id="rId9"/>
      <w:pgSz w:w="12240" w:h="15840"/>
      <w:pgMar w:top="1008" w:right="792" w:bottom="100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9"/>
        <w:sz w:val="15"/>
      </w:rPr>
      <w:t>CERTACITO.AI          University of Wollongong | CSIT321 | 2026 | Group 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Certacito.ai - System Functionality</dc:title>
  <dc:subject>A4 Prototype Presentation appendix</dc:subject>
  <dc:creator>Group 28, CSIT321, University of Wollongong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CSIT321 A4</cp:category>
</cp:coreProperties>
</file>