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777240" cy="777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77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D7377"/>
          <w:sz w:val="22"/>
        </w:rPr>
        <w:t>GROUP 28  ·  CSIT321</w:t>
      </w:r>
    </w:p>
    <w:p>
      <w:r>
        <w:rPr>
          <w:b/>
          <w:color w:val="1B3A6B"/>
          <w:sz w:val="60"/>
        </w:rPr>
        <w:t>Interface Design</w:t>
      </w:r>
    </w:p>
    <w:p>
      <w:r>
        <w:rPr>
          <w:color w:val="6B7A99"/>
          <w:sz w:val="24"/>
        </w:rPr>
        <w:t>Certacito.ai  ·  A4 Prototype Presentation appendix</w:t>
      </w:r>
    </w:p>
    <w:p/>
    <w:p>
      <w:pPr>
        <w:spacing w:after="40"/>
      </w:pPr>
      <w:r>
        <w:rPr>
          <w:b/>
          <w:color w:val="1B3A6B"/>
          <w:sz w:val="20"/>
        </w:rPr>
        <w:t xml:space="preserve">Project   </w:t>
      </w:r>
      <w:r>
        <w:rPr>
          <w:color w:val="6B7A99"/>
          <w:sz w:val="20"/>
        </w:rPr>
        <w:t>Certacito.ai, AI agent governance platform</w:t>
      </w:r>
    </w:p>
    <w:p>
      <w:pPr>
        <w:spacing w:after="40"/>
      </w:pPr>
      <w:r>
        <w:rPr>
          <w:b/>
          <w:color w:val="1B3A6B"/>
          <w:sz w:val="20"/>
        </w:rPr>
        <w:t xml:space="preserve">Document   </w:t>
      </w:r>
      <w:r>
        <w:rPr>
          <w:color w:val="6B7A99"/>
          <w:sz w:val="20"/>
        </w:rPr>
        <w:t>interface-design.md</w:t>
      </w:r>
    </w:p>
    <w:p>
      <w:pPr>
        <w:spacing w:after="40"/>
      </w:pPr>
      <w:r>
        <w:rPr>
          <w:b/>
          <w:color w:val="1B3A6B"/>
          <w:sz w:val="20"/>
        </w:rPr>
        <w:t xml:space="preserve">Date   </w:t>
      </w:r>
      <w:r>
        <w:rPr>
          <w:color w:val="6B7A99"/>
          <w:sz w:val="20"/>
        </w:rPr>
        <w:t>07 August 2026</w:t>
      </w:r>
    </w:p>
    <w:p>
      <w:pPr>
        <w:spacing w:after="40"/>
      </w:pPr>
      <w:r>
        <w:rPr>
          <w:b/>
          <w:color w:val="1B3A6B"/>
          <w:sz w:val="20"/>
        </w:rPr>
        <w:t xml:space="preserve">Live system   </w:t>
      </w:r>
      <w:r>
        <w:rPr>
          <w:color w:val="6B7A99"/>
          <w:sz w:val="20"/>
        </w:rPr>
        <w:t>http://20.92.93.30</w:t>
      </w:r>
    </w:p>
    <w:p>
      <w:r>
        <w:br w:type="page"/>
      </w:r>
    </w:p>
    <w:p>
      <w:pPr>
        <w:spacing w:after="120"/>
      </w:pPr>
      <w:r>
        <w:t>A4 appendix. A3 presented eight high-fidelity Figma screens. A4 is those screens</w:t>
      </w:r>
    </w:p>
    <w:p>
      <w:pPr>
        <w:spacing w:after="120"/>
      </w:pPr>
      <w:r>
        <w:t>implemented as a working React app fed by the real API. This doc lists where the</w:t>
      </w:r>
    </w:p>
    <w:p>
      <w:pPr>
        <w:spacing w:after="120"/>
      </w:pPr>
      <w:r>
        <w:t>implementation deviates from the A3 designs and the reason for each change.</w:t>
      </w:r>
    </w:p>
    <w:p>
      <w:pPr>
        <w:spacing w:before="280"/>
      </w:pPr>
      <w:r>
        <w:rPr>
          <w:b/>
          <w:color w:val="1B3A6B"/>
          <w:sz w:val="26"/>
        </w:rPr>
        <w:t>1. What stayed the same</w:t>
      </w:r>
    </w:p>
    <w:p>
      <w:pPr>
        <w:spacing w:after="120"/>
      </w:pPr>
      <w:r>
        <w:t>The A3 design system survived contact with implementation almost untouched:</w:t>
      </w:r>
    </w:p>
    <w:p>
      <w:pPr>
        <w:pStyle w:val="ListBullet"/>
        <w:spacing w:after="40"/>
      </w:pPr>
      <w:r>
        <w:t>Colour system and its "one job per colour" rule (navy structure, teal active/permit,</w:t>
      </w:r>
    </w:p>
    <w:p>
      <w:pPr>
        <w:spacing w:after="120"/>
      </w:pPr>
      <w:r>
        <w:t xml:space="preserve">  red critical/deny, green permit/pass, amber escalate).</w:t>
      </w:r>
    </w:p>
    <w:p>
      <w:pPr>
        <w:pStyle w:val="ListBullet"/>
        <w:spacing w:after="40"/>
      </w:pPr>
      <w:r>
        <w:t>Persistent navy sidebar, breadcrumb header, card-on-grey layout.</w:t>
      </w:r>
    </w:p>
    <w:p>
      <w:pPr>
        <w:pStyle w:val="ListBullet"/>
        <w:spacing w:after="40"/>
      </w:pPr>
      <w:r>
        <w:t>Unified risk/outcome badges - colour always paired with a text label (WCAG 2.1 AA,</w:t>
      </w:r>
    </w:p>
    <w:p>
      <w:pPr>
        <w:spacing w:after="120"/>
      </w:pPr>
      <w:r>
        <w:t xml:space="preserve">  risk is never conveyed by colour alone).</w:t>
      </w:r>
    </w:p>
    <w:p>
      <w:pPr>
        <w:pStyle w:val="ListBullet"/>
        <w:spacing w:after="40"/>
      </w:pPr>
      <w:r>
        <w:t>Screen set and the two persona journeys (Compliance Officer triage path,</w:t>
      </w:r>
    </w:p>
    <w:p>
      <w:pPr>
        <w:spacing w:after="120"/>
      </w:pPr>
      <w:r>
        <w:t xml:space="preserve">  DevSecOps configuration path).</w:t>
      </w:r>
    </w:p>
    <w:p>
      <w:pPr>
        <w:pStyle w:val="ListBullet"/>
        <w:spacing w:after="40"/>
      </w:pPr>
      <w:r>
        <w:t>Expandable row detail on the audit log and approval queue.</w:t>
      </w:r>
    </w:p>
    <w:p>
      <w:pPr>
        <w:spacing w:before="280"/>
      </w:pPr>
      <w:r>
        <w:rPr>
          <w:b/>
          <w:color w:val="1B3A6B"/>
          <w:sz w:val="26"/>
        </w:rPr>
        <w:t>2. What changed, and why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A3 DESIGN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A4 IMPLEMENTATION</w:t>
            </w:r>
          </w:p>
        </w:tc>
        <w:tc>
          <w:tcPr>
            <w:tcW w:type="dxa" w:w="2664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WHY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Sign-in via Azure AD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Local JWT login (email + bcrypt password), SSO button kept as inactive placeholder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Live on an Azure VM in australiaeast. JWT + RBAC gives the same role-gated behaviour to demo; the SSO swap is isolated inside </w:t>
            </w:r>
            <w:r>
              <w:rPr>
                <w:rFonts w:ascii="Courier New" w:hAnsi="Courier New"/>
                <w:color w:val="1B3A6B"/>
                <w:sz w:val="16"/>
              </w:rPr>
              <w:t>auth.py</w:t>
            </w:r>
            <w:r>
              <w:rPr>
                <w:sz w:val="16"/>
              </w:rPr>
              <w:t>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Typography: Inter / JetBrains Mono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Arial / Courier New system stack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Licensing-free system fonts render identically across marker machines with zero font loading. Visual intent (prose vs system identifiers) is preserved. Revisit for production.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Static mock numbers in every panel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All KPIs, feeds, charts and tables driven by the live API; WebSocket push for instant updates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A3 prototype only had to look real. A4 has to be real - a live simulator (~4 events/min) plus the OpenClaw agent feed the same pipeline a customer deployment would.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Audit "Export modal"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Direct Export CSV (client-side) + Export PDF (print stylesheet) + a new </w:t>
            </w:r>
            <w:r>
              <w:rPr>
                <w:b/>
                <w:color w:val="1B3A6B"/>
                <w:sz w:val="16"/>
              </w:rPr>
              <w:t>Verify chain</w:t>
            </w:r>
            <w:r>
              <w:rPr>
                <w:sz w:val="16"/>
              </w:rPr>
              <w:t xml:space="preserve"> button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Verify chain surfaces the tamper-evidence story in one click during demos - it re-walks the whole SHA-256 chain server-side. The modal added a step without adding value.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 landing page in A3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Public marketing landing page before login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Exhibition feedback: visitors need the "what is this and why should I care" story before the console. Also carries the group branding.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Audit detail drawer showed one exemplar record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Detail row renders the actual selected entry: masked payload, its own chain hash, previous-entry hash, real decision trail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Markers click more than one row. Mock detail on real rows read as broken.</w:t>
            </w:r>
          </w:p>
        </w:tc>
      </w:tr>
      <w:tr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Notifications area (bell) with static badge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Badge counts live pending approvals + criticals</w:t>
            </w:r>
          </w:p>
        </w:tc>
        <w:tc>
          <w:tcPr>
            <w:tcW w:type="dxa" w:w="2664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Same reason as 3.</w:t>
            </w:r>
          </w:p>
        </w:tc>
      </w:tr>
      <w:tr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2-second polling everywhere (A3 assumed it)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WebSocket-first, 10 s fallback poll</w:t>
            </w:r>
          </w:p>
        </w:tc>
        <w:tc>
          <w:tcPr>
            <w:tcW w:type="dxa" w:w="2664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Polling three endpoints every 2 s tripped our own API rate limit after a minute on screen. The socket is instant and cheaper.</w:t>
            </w:r>
          </w:p>
        </w:tc>
      </w:tr>
    </w:tbl>
    <w:p/>
    <w:p>
      <w:pPr>
        <w:spacing w:before="280"/>
      </w:pPr>
      <w:r>
        <w:rPr>
          <w:b/>
          <w:color w:val="1B3A6B"/>
          <w:sz w:val="26"/>
        </w:rPr>
        <w:t>3. Screens as implemented</w:t>
      </w:r>
    </w:p>
    <w:p>
      <w:pPr>
        <w:spacing w:after="120"/>
      </w:pPr>
      <w:r>
        <w:t>All ten screens of the implemented console, captured from the running Azure</w:t>
      </w:r>
    </w:p>
    <w:p>
      <w:pPr>
        <w:spacing w:after="120"/>
      </w:pPr>
      <w:r>
        <w:t xml:space="preserve">deployment with the simulator on (source files in </w:t>
      </w:r>
      <w:r>
        <w:rPr>
          <w:rFonts w:ascii="Courier New" w:hAnsi="Courier New"/>
          <w:color w:val="1B3A6B"/>
          <w:sz w:val="18"/>
        </w:rPr>
        <w:t>docs/screenshots/</w:t>
      </w:r>
      <w:r>
        <w:t>). The A3</w:t>
      </w:r>
    </w:p>
    <w:p>
      <w:pPr>
        <w:spacing w:after="120"/>
      </w:pPr>
      <w:r>
        <w:t>feedback asked to see every designed screen, so they are all here, ordered the</w:t>
      </w:r>
    </w:p>
    <w:p>
      <w:pPr>
        <w:spacing w:after="120"/>
      </w:pPr>
      <w:r>
        <w:t>way a user meets them: entry, then the Compliance Officer triage journey, then</w:t>
      </w:r>
    </w:p>
    <w:p>
      <w:pPr>
        <w:spacing w:after="120"/>
      </w:pPr>
      <w:r>
        <w:t>the DevSecOps configuration journey.</w:t>
      </w:r>
    </w:p>
    <w:p>
      <w:pPr>
        <w:spacing w:after="120"/>
      </w:pPr>
      <w:r>
        <w:rPr>
          <w:b/>
          <w:color w:val="1B3A6B"/>
        </w:rPr>
        <w:t>Landing page</w:t>
      </w:r>
      <w:r>
        <w:t xml:space="preserve"> - the public "what is this" story before any login.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land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Login</w:t>
      </w:r>
      <w:r>
        <w:t xml:space="preserve"> - JWT email/password with the SSO placeholder (change 1 in section 2).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Dashboard</w:t>
      </w:r>
      <w:r>
        <w:t xml:space="preserve"> - live KPIs, intercepted-actions feed, risk mix. The Compliance</w:t>
      </w:r>
    </w:p>
    <w:p>
      <w:pPr>
        <w:spacing w:after="120"/>
      </w:pPr>
      <w:r>
        <w:t>Officer's home screen.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Approval queue</w:t>
      </w:r>
      <w:r>
        <w:t xml:space="preserve"> - the human-in-the-loop worklist; expandable rows carry the</w:t>
      </w:r>
    </w:p>
    <w:p>
      <w:pPr>
        <w:spacing w:after="120"/>
      </w:pPr>
      <w:r>
        <w:t>full decision context, approve/deny act on the live API.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queu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Audit log</w:t>
      </w:r>
      <w:r>
        <w:t xml:space="preserve"> - the hash-chained record with per-row chain hashes and the</w:t>
      </w:r>
    </w:p>
    <w:p>
      <w:pPr>
        <w:spacing w:after="120"/>
      </w:pPr>
      <w:r>
        <w:t>one-click Verify chain action.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au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Reports and compliance</w:t>
      </w:r>
      <w:r>
        <w:t xml:space="preserve"> - exportable compliance posture over time.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Agent overview</w:t>
      </w:r>
      <w:r>
        <w:t xml:space="preserve"> - fleet status at a glance; the DevSecOps entry point.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agen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Agent registry</w:t>
      </w:r>
      <w:r>
        <w:t xml:space="preserve"> - per-agent detail, permitted action types, live counters.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regist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Policy rules</w:t>
      </w:r>
      <w:r>
        <w:t xml:space="preserve"> - policy CRUD plus the pre-built rule library.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polic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color w:val="1B3A6B"/>
        </w:rPr>
        <w:t>Settings</w:t>
      </w:r>
      <w:r>
        <w:t xml:space="preserve"> - organisation, team, notifications, API keys, integrations. Team</w:t>
      </w:r>
    </w:p>
    <w:p>
      <w:pPr>
        <w:spacing w:after="120"/>
      </w:pPr>
      <w:r>
        <w:t>members and API keys are live (real users from the API, keys issued and revoked</w:t>
      </w:r>
    </w:p>
    <w:p>
      <w:pPr>
        <w:spacing w:after="120"/>
      </w:pPr>
      <w:r>
        <w:t>from this screen); the organisation form and notification toggles are</w:t>
      </w:r>
    </w:p>
    <w:p>
      <w:pPr>
        <w:spacing w:after="120"/>
      </w:pPr>
      <w:r>
        <w:t>client-side only in this release, and the integrations tab honestly reports</w:t>
      </w:r>
    </w:p>
    <w:p>
      <w:pPr>
        <w:spacing w:after="120"/>
      </w:pPr>
      <w:r>
        <w:t>every integration as not connected rather than faking a status.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-setting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/>
      </w:pPr>
      <w:r>
        <w:rPr>
          <w:b/>
          <w:color w:val="1B3A6B"/>
          <w:sz w:val="26"/>
        </w:rPr>
        <w:t>4. Sponsor/supervisor feedback applied</w:t>
      </w:r>
    </w:p>
    <w:p>
      <w:pPr>
        <w:pStyle w:val="ListBullet"/>
        <w:spacing w:after="40"/>
      </w:pPr>
      <w:r>
        <w:t>"Interception-first framing" (Anthony, A3 review) - the dashboard leads with the</w:t>
      </w:r>
    </w:p>
    <w:p>
      <w:pPr>
        <w:spacing w:after="120"/>
      </w:pPr>
      <w:r>
        <w:t xml:space="preserve">  live intercepted-actions feed, not agent inventory.</w:t>
      </w:r>
    </w:p>
    <w:p>
      <w:pPr>
        <w:pStyle w:val="ListBullet"/>
        <w:spacing w:after="40"/>
      </w:pPr>
      <w:r>
        <w:t>"Understandable in a few minutes by someone new" (supervisor email, June) - the</w:t>
      </w:r>
    </w:p>
    <w:p>
      <w:pPr>
        <w:spacing w:after="120"/>
      </w:pPr>
      <w:r>
        <w:t xml:space="preserve">  landing page + healthcare demo scenario (</w:t>
      </w:r>
      <w:r>
        <w:rPr>
          <w:rFonts w:ascii="Courier New" w:hAnsi="Courier New"/>
          <w:color w:val="1B3A6B"/>
          <w:sz w:val="18"/>
        </w:rPr>
        <w:t>POST /api/v1/demo/healthcare-scenario</w:t>
      </w:r>
      <w:r>
        <w:t>)</w:t>
      </w:r>
    </w:p>
    <w:p>
      <w:pPr>
        <w:spacing w:after="120"/>
      </w:pPr>
      <w:r>
        <w:t xml:space="preserve">  give a self-contained walkthrough.</w:t>
      </w:r>
    </w:p>
    <w:p>
      <w:pPr>
        <w:spacing w:before="280"/>
      </w:pPr>
      <w:r>
        <w:rPr>
          <w:b/>
          <w:color w:val="1B3A6B"/>
          <w:sz w:val="26"/>
        </w:rPr>
        <w:t>5. A3 marking feedback applied</w:t>
      </w:r>
    </w:p>
    <w:p>
      <w:pPr>
        <w:spacing w:after="120"/>
      </w:pPr>
      <w:r>
        <w:t>The A3 assessment feedback listed specific improvements. Point by point: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A3 FEEDBACK</w:t>
            </w:r>
          </w:p>
        </w:tc>
        <w:tc>
          <w:tcPr>
            <w:tcW w:type="dxa" w:w="5328"/>
            <w:shd w:val="clear" w:fill="1B3A6B"/>
          </w:tcPr>
          <w:p>
            <w:r/>
            <w:r>
              <w:rPr>
                <w:b/>
                <w:color w:val="FFFFFF"/>
                <w:sz w:val="15"/>
              </w:rPr>
              <w:t>WHAT WE DID IN A4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"Only a limited number of interface screens are presented"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All ten screens are implemented and shown in section 3, captured from the live system - none are mockups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"Additional screenshots for all designed screens would make the screen flow even clearer"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section 3 gallery is ordered along the two persona journeys, so the flow reads top to bottom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Design approval "should be presented more consistently"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approval record now lives in exactly one place - the sign-off box in the contribution table appendix - and no other document makes an approval claim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"Provide additional user testing or usability evaluation"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New Usability Evaluation appendix: a heuristic walkthrough and WCAG 2.1 AA audit of the live deployment, plus the sponsor, supervisor and exhibition feedback and what each changed</w:t>
            </w:r>
          </w:p>
        </w:tc>
      </w:tr>
      <w:tr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"Continue implementing the frontend and backend to demonstrate the complete governance platform"</w:t>
            </w:r>
          </w:p>
        </w:tc>
        <w:tc>
          <w:tcPr>
            <w:tcW w:type="dxa" w:w="5328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The A4 submission is that: the full platform live on Azure, 105 passing tests, and a real agent (OpenClaw) governed through it</w:t>
            </w:r>
          </w:p>
        </w:tc>
      </w:tr>
      <w:tr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"Ensure all group members actively contribute during demonstrations and clearly explain their individual design contributions"</w:t>
            </w:r>
          </w:p>
        </w:tc>
        <w:tc>
          <w:tcPr>
            <w:tcW w:type="dxa" w:w="5328"/>
            <w:shd w:val="clear" w:fill="F7F9FC"/>
          </w:tcPr>
          <w:p>
            <w:pPr>
              <w:spacing w:after="20"/>
            </w:pPr>
            <w:r>
              <w:rPr>
                <w:sz w:val="16"/>
              </w:rPr>
            </w:r>
            <w:r>
              <w:rPr>
                <w:sz w:val="16"/>
              </w:rPr>
              <w:t>Each member's individual contribution is recorded and signed in the contribution table appendix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08" w:right="792" w:bottom="100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9"/>
        <w:sz w:val="15"/>
      </w:rPr>
      <w:t>CERTACITO.AI          University of Wollongong | CSIT321 | 2026 | Group 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Certacito.ai - Interface Design</dc:title>
  <dc:subject>A4 Prototype Presentation appendix</dc:subject>
  <dc:creator>Group 28, CSIT321, University of Wollongong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CSIT321 A4</cp:category>
</cp:coreProperties>
</file>