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D7377"/>
          <w:sz w:val="22"/>
        </w:rPr>
        <w:t>GROUP 28  ·  CSIT321</w:t>
      </w:r>
    </w:p>
    <w:p>
      <w:r>
        <w:rPr>
          <w:b/>
          <w:color w:val="1B3A6B"/>
          <w:sz w:val="60"/>
        </w:rPr>
        <w:t>Usability Evaluation</w:t>
      </w:r>
    </w:p>
    <w:p>
      <w:r>
        <w:rPr>
          <w:color w:val="6B7A99"/>
          <w:sz w:val="24"/>
        </w:rPr>
        <w:t>Certacito.ai  ·  A4 Prototype Presentation appendix</w:t>
      </w:r>
    </w:p>
    <w:p/>
    <w:p>
      <w:pPr>
        <w:spacing w:after="40"/>
      </w:pPr>
      <w:r>
        <w:rPr>
          <w:b/>
          <w:color w:val="1B3A6B"/>
          <w:sz w:val="20"/>
        </w:rPr>
        <w:t xml:space="preserve">Project   </w:t>
      </w:r>
      <w:r>
        <w:rPr>
          <w:color w:val="6B7A99"/>
          <w:sz w:val="20"/>
        </w:rPr>
        <w:t>Certacito.ai, AI agent governance platform</w:t>
      </w:r>
    </w:p>
    <w:p>
      <w:pPr>
        <w:spacing w:after="40"/>
      </w:pPr>
      <w:r>
        <w:rPr>
          <w:b/>
          <w:color w:val="1B3A6B"/>
          <w:sz w:val="20"/>
        </w:rPr>
        <w:t xml:space="preserve">Document   </w:t>
      </w:r>
      <w:r>
        <w:rPr>
          <w:color w:val="6B7A99"/>
          <w:sz w:val="20"/>
        </w:rPr>
        <w:t>usability-evaluation.md</w:t>
      </w:r>
    </w:p>
    <w:p>
      <w:pPr>
        <w:spacing w:after="40"/>
      </w:pPr>
      <w:r>
        <w:rPr>
          <w:b/>
          <w:color w:val="1B3A6B"/>
          <w:sz w:val="20"/>
        </w:rPr>
        <w:t xml:space="preserve">Date   </w:t>
      </w:r>
      <w:r>
        <w:rPr>
          <w:color w:val="6B7A99"/>
          <w:sz w:val="20"/>
        </w:rPr>
        <w:t>07 August 2026</w:t>
      </w:r>
    </w:p>
    <w:p>
      <w:pPr>
        <w:spacing w:after="40"/>
      </w:pPr>
      <w:r>
        <w:rPr>
          <w:b/>
          <w:color w:val="1B3A6B"/>
          <w:sz w:val="20"/>
        </w:rPr>
        <w:t xml:space="preserve">Live system   </w:t>
      </w:r>
      <w:r>
        <w:rPr>
          <w:color w:val="6B7A99"/>
          <w:sz w:val="20"/>
        </w:rPr>
        <w:t>http://20.92.93.30</w:t>
      </w:r>
    </w:p>
    <w:p>
      <w:r>
        <w:br w:type="page"/>
      </w:r>
    </w:p>
    <w:p>
      <w:pPr>
        <w:spacing w:after="120"/>
      </w:pPr>
      <w:r>
        <w:t>A4 appendix. The A3 marking feedback asked for "additional user testing or</w:t>
      </w:r>
    </w:p>
    <w:p>
      <w:pPr>
        <w:spacing w:after="120"/>
      </w:pPr>
      <w:r>
        <w:t>usability evaluation", so this document records the evaluation work done for A4</w:t>
      </w:r>
    </w:p>
    <w:p>
      <w:pPr>
        <w:spacing w:after="120"/>
      </w:pPr>
      <w:r>
        <w:t>and is honest about its limits. In short: we ran a structured expert review of</w:t>
      </w:r>
    </w:p>
    <w:p>
      <w:pPr>
        <w:spacing w:after="120"/>
      </w:pPr>
      <w:r>
        <w:t>the live deployment (a heuristic walkthrough plus a WCAG 2.1 AA audit, run</w:t>
      </w:r>
    </w:p>
    <w:p>
      <w:pPr>
        <w:spacing w:after="120"/>
      </w:pPr>
      <w:r>
        <w:t>against the running Azure system on 7 August 2026 with the simulator on), and we</w:t>
      </w:r>
    </w:p>
    <w:p>
      <w:pPr>
        <w:spacing w:after="120"/>
      </w:pPr>
      <w:r>
        <w:t>collected feedback from the real people who saw the system along the way. We did</w:t>
      </w:r>
    </w:p>
    <w:p>
      <w:pPr>
        <w:spacing w:after="120"/>
      </w:pPr>
      <w:r>
        <w:t>not run formal moderated sessions with recruited participants - section 5 covers</w:t>
      </w:r>
    </w:p>
    <w:p>
      <w:pPr>
        <w:spacing w:after="120"/>
      </w:pPr>
      <w:r>
        <w:t>why and what we would do about it in A5.</w:t>
      </w:r>
    </w:p>
    <w:p>
      <w:pPr>
        <w:spacing w:before="280"/>
      </w:pPr>
      <w:r>
        <w:rPr>
          <w:b/>
          <w:color w:val="1B3A6B"/>
          <w:sz w:val="26"/>
        </w:rPr>
        <w:t>1. Method</w:t>
      </w:r>
    </w:p>
    <w:p>
      <w:pPr>
        <w:spacing w:after="120"/>
      </w:pPr>
      <w:r>
        <w:t>Three sources of evidence, in order of rigour:</w:t>
      </w:r>
    </w:p>
    <w:p>
      <w:pPr>
        <w:pStyle w:val="ListNumber"/>
        <w:spacing w:after="40"/>
      </w:pPr>
      <w:r>
        <w:rPr>
          <w:b/>
          <w:color w:val="1B3A6B"/>
        </w:rPr>
        <w:t>Heuristic walkthrough.</w:t>
      </w:r>
      <w:r>
        <w:t xml:space="preserve"> Both persona journeys from A3 (Compliance Officer</w:t>
      </w:r>
    </w:p>
    <w:p>
      <w:pPr>
        <w:spacing w:after="120"/>
      </w:pPr>
      <w:r>
        <w:t xml:space="preserve">   triage, DevSecOps configuration) walked end-to-end on the live deployment</w:t>
      </w:r>
    </w:p>
    <w:p>
      <w:pPr>
        <w:spacing w:after="120"/>
      </w:pPr>
      <w:r>
        <w:t xml:space="preserve">   against Nielsen's ten heuristics. Every screen visited, every primary action</w:t>
      </w:r>
    </w:p>
    <w:p>
      <w:pPr>
        <w:spacing w:after="120"/>
      </w:pPr>
      <w:r>
        <w:t xml:space="preserve">   exercised, including failure paths (wrong password, empty states).</w:t>
      </w:r>
    </w:p>
    <w:p>
      <w:pPr>
        <w:pStyle w:val="ListNumber"/>
        <w:spacing w:after="40"/>
      </w:pPr>
      <w:r>
        <w:rPr>
          <w:b/>
          <w:color w:val="1B3A6B"/>
        </w:rPr>
        <w:t>WCAG 2.1 AA audit.</w:t>
      </w:r>
      <w:r>
        <w:t xml:space="preserve"> Contrast ratios computed for every colour pair in the</w:t>
      </w:r>
    </w:p>
    <w:p>
      <w:pPr>
        <w:spacing w:after="120"/>
      </w:pPr>
      <w:r>
        <w:t xml:space="preserve">   branding style guide using the WCAG relative-luminance formula, plus scripted</w:t>
      </w:r>
    </w:p>
    <w:p>
      <w:pPr>
        <w:spacing w:after="120"/>
      </w:pPr>
      <w:r>
        <w:t xml:space="preserve">   checks on the live site (Playwright): keyboard-only navigation of the login,</w:t>
      </w:r>
    </w:p>
    <w:p>
      <w:pPr>
        <w:spacing w:after="120"/>
      </w:pPr>
      <w:r>
        <w:t xml:space="preserve">   focus indicator visibility, error-state messaging, and table semantics for</w:t>
      </w:r>
    </w:p>
    <w:p>
      <w:pPr>
        <w:spacing w:after="120"/>
      </w:pPr>
      <w:r>
        <w:t xml:space="preserve">   screen readers.</w:t>
      </w:r>
    </w:p>
    <w:p>
      <w:pPr>
        <w:pStyle w:val="ListNumber"/>
        <w:spacing w:after="40"/>
      </w:pPr>
      <w:r>
        <w:rPr>
          <w:b/>
          <w:color w:val="1B3A6B"/>
        </w:rPr>
        <w:t>Collected feedback.</w:t>
      </w:r>
      <w:r>
        <w:t xml:space="preserve"> The unprompted reactions we already had from real</w:t>
      </w:r>
    </w:p>
    <w:p>
      <w:pPr>
        <w:spacing w:after="120"/>
      </w:pPr>
      <w:r>
        <w:t xml:space="preserve">   viewers: the sponsor's A3 review, the supervisor's June email, and visitors</w:t>
      </w:r>
    </w:p>
    <w:p>
      <w:pPr>
        <w:spacing w:after="120"/>
      </w:pPr>
      <w:r>
        <w:t xml:space="preserve">   at the project exhibition. These are catalogued in section 4.</w:t>
      </w:r>
    </w:p>
    <w:p>
      <w:pPr>
        <w:spacing w:before="280"/>
      </w:pPr>
      <w:r>
        <w:rPr>
          <w:b/>
          <w:color w:val="1B3A6B"/>
          <w:sz w:val="26"/>
        </w:rPr>
        <w:t>2. Issues found</w:t>
      </w:r>
    </w:p>
    <w:p>
      <w:pPr>
        <w:spacing w:after="120"/>
      </w:pPr>
      <w:r>
        <w:t>The audit found nine issues. Four were fixed before submission; five remain open</w:t>
      </w:r>
    </w:p>
    <w:p>
      <w:pPr>
        <w:spacing w:after="120"/>
      </w:pPr>
      <w:r>
        <w:t>with concrete recommended fixes. Severity is our judgement of user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131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2131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HEURISTIC / CRITERION</w:t>
            </w:r>
          </w:p>
        </w:tc>
        <w:tc>
          <w:tcPr>
            <w:tcW w:type="dxa" w:w="2131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2131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U-01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Sign-in crashed on a fresh build (a component read a </w:t>
            </w:r>
            <w:r>
              <w:rPr>
                <w:rFonts w:ascii="Courier New" w:hAnsi="Courier New"/>
                <w:color w:val="1B3A6B"/>
                <w:sz w:val="16"/>
              </w:rPr>
              <w:t>user</w:t>
            </w:r>
            <w:r>
              <w:rPr>
                <w:sz w:val="16"/>
              </w:rPr>
              <w:t xml:space="preserve"> value that was never passed to it). Found during A4 submission preparation when sign-in was tested on a clean deploy.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Error prevention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High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Fixed</w:t>
            </w:r>
            <w:r>
              <w:rPr>
                <w:sz w:val="16"/>
              </w:rPr>
              <w:t xml:space="preserve"> - and a TypeScript check was added to CI so this class of bug fails the build instead of shipping</w:t>
            </w:r>
          </w:p>
        </w:tc>
      </w:tr>
      <w:tr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U-02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Agent registry showed "0 of 0 agents" while agents were live and reporting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Visibility of system status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Medium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Fixed</w:t>
            </w:r>
            <w:r>
              <w:rPr>
                <w:sz w:val="16"/>
              </w:rPr>
              <w:t xml:space="preserve"> - registry now maps live API data directly</w:t>
            </w:r>
          </w:p>
        </w:tc>
      </w:tr>
      <w:tr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U-03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Compliance score displayed 100% before any traffic existed, which reads as a (false) claim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Match with the real world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Medium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Fixed</w:t>
            </w:r>
            <w:r>
              <w:rPr>
                <w:sz w:val="16"/>
              </w:rPr>
              <w:t xml:space="preserve"> - shows a dash until there is data to score</w:t>
            </w:r>
          </w:p>
        </w:tc>
      </w:tr>
      <w:tr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U-04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Panel titled "Assigned policy rules" actually listed permitted action types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Match with the real world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Low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Fixed</w:t>
            </w:r>
            <w:r>
              <w:rPr>
                <w:sz w:val="16"/>
              </w:rPr>
              <w:t xml:space="preserve"> - renamed</w:t>
            </w:r>
          </w:p>
        </w:tc>
      </w:tr>
      <w:tr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U-05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Permit-green text (</w:t>
            </w:r>
            <w:r>
              <w:rPr>
                <w:rFonts w:ascii="Courier New" w:hAnsi="Courier New"/>
                <w:color w:val="1B3A6B"/>
                <w:sz w:val="16"/>
              </w:rPr>
              <w:t>#27AE60</w:t>
            </w:r>
            <w:r>
              <w:rPr>
                <w:sz w:val="16"/>
              </w:rPr>
              <w:t>) on white measures 2.87:1, below the 4.5:1 AA minimum for normal text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WCAG 1.4.3 contrast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Medium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Open - recommended </w:t>
            </w:r>
            <w:r>
              <w:rPr>
                <w:rFonts w:ascii="Courier New" w:hAnsi="Courier New"/>
                <w:color w:val="1B3A6B"/>
                <w:sz w:val="16"/>
              </w:rPr>
              <w:t>#1E8449</w:t>
            </w:r>
            <w:r>
              <w:rPr>
                <w:sz w:val="16"/>
              </w:rPr>
              <w:t xml:space="preserve"> (4.72:1). Partly mitigated by the design rule that outcome is never conveyed by colour alone</w:t>
            </w:r>
          </w:p>
        </w:tc>
      </w:tr>
      <w:tr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U-06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Escalate-amber text (</w:t>
            </w:r>
            <w:r>
              <w:rPr>
                <w:rFonts w:ascii="Courier New" w:hAnsi="Courier New"/>
                <w:color w:val="1B3A6B"/>
                <w:sz w:val="16"/>
              </w:rPr>
              <w:t>#E67E22</w:t>
            </w:r>
            <w:r>
              <w:rPr>
                <w:sz w:val="16"/>
              </w:rPr>
              <w:t>) on white measures 2.85:1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WCAG 1.4.3 contrast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Medium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Open - recommended </w:t>
            </w:r>
            <w:r>
              <w:rPr>
                <w:rFonts w:ascii="Courier New" w:hAnsi="Courier New"/>
                <w:color w:val="1B3A6B"/>
                <w:sz w:val="16"/>
              </w:rPr>
              <w:t>#9C640C</w:t>
            </w:r>
            <w:r>
              <w:rPr>
                <w:sz w:val="16"/>
              </w:rPr>
              <w:t xml:space="preserve"> (4.95:1)</w:t>
            </w:r>
          </w:p>
        </w:tc>
      </w:tr>
      <w:tr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U-07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Muted slate text (</w:t>
            </w:r>
            <w:r>
              <w:rPr>
                <w:rFonts w:ascii="Courier New" w:hAnsi="Courier New"/>
                <w:color w:val="1B3A6B"/>
                <w:sz w:val="16"/>
              </w:rPr>
              <w:t>#6B7A99</w:t>
            </w:r>
            <w:r>
              <w:rPr>
                <w:sz w:val="16"/>
              </w:rPr>
              <w:t>) on white measures 4.31:1 - passes for large text, marginally fails for normal text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WCAG 1.4.3 contrast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Low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Open - recommended </w:t>
            </w:r>
            <w:r>
              <w:rPr>
                <w:rFonts w:ascii="Courier New" w:hAnsi="Courier New"/>
                <w:color w:val="1B3A6B"/>
                <w:sz w:val="16"/>
              </w:rPr>
              <w:t>#5A6B8C</w:t>
            </w:r>
            <w:r>
              <w:rPr>
                <w:sz w:val="16"/>
              </w:rPr>
              <w:t xml:space="preserve"> (5.36:1)</w:t>
            </w:r>
          </w:p>
        </w:tc>
      </w:tr>
      <w:tr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U-08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The email and password inputs suppress the browser focus outline without providing a replacement, so a keyboard user cannot see which field has focus. Buttons are unaffected (they keep the default outline)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WCAG 2.4.7 focus visible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Medium</w:t>
            </w:r>
          </w:p>
        </w:tc>
        <w:tc>
          <w:tcPr>
            <w:tcW w:type="dxa" w:w="2131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Open - restore a visible focus ring on text inputs</w:t>
            </w:r>
          </w:p>
        </w:tc>
      </w:tr>
      <w:tr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U-09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No </w:t>
            </w:r>
            <w:r>
              <w:rPr>
                <w:rFonts w:ascii="Courier New" w:hAnsi="Courier New"/>
                <w:color w:val="1B3A6B"/>
                <w:sz w:val="16"/>
              </w:rPr>
              <w:t>aria-label</w:t>
            </w:r>
            <w:r>
              <w:rPr>
                <w:sz w:val="16"/>
              </w:rPr>
              <w:t xml:space="preserve"> anywhere in the console; icon-only controls such as the notification bell expose only their badge number to a screen reader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WCAG 4.1.2 name, role, value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Medium</w:t>
            </w:r>
          </w:p>
        </w:tc>
        <w:tc>
          <w:tcPr>
            <w:tcW w:type="dxa" w:w="2131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Open - label icon-only buttons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3. What passed</w:t>
      </w:r>
    </w:p>
    <w:p>
      <w:pPr>
        <w:spacing w:after="120"/>
      </w:pPr>
      <w:r>
        <w:t>Worth recording, because these were deliberate A3 design decisions and the audit</w:t>
      </w:r>
    </w:p>
    <w:p>
      <w:pPr>
        <w:spacing w:after="120"/>
      </w:pPr>
      <w:r>
        <w:t>confirms they held up in the implementation:</w:t>
      </w:r>
    </w:p>
    <w:p>
      <w:pPr>
        <w:pStyle w:val="ListBullet"/>
        <w:spacing w:after="40"/>
      </w:pPr>
      <w:r>
        <w:rPr>
          <w:b/>
          <w:color w:val="1B3A6B"/>
        </w:rPr>
        <w:t>Core palette contrast.</w:t>
      </w:r>
      <w:r>
        <w:t xml:space="preserve"> Navy on white 11.27:1, teal on white 5.62:1, red on</w:t>
      </w:r>
    </w:p>
    <w:p>
      <w:pPr>
        <w:spacing w:after="120"/>
      </w:pPr>
      <w:r>
        <w:t xml:space="preserve">  white 5.44:1, and the same pairs reversed on dark backgrounds - all pass AA</w:t>
      </w:r>
    </w:p>
    <w:p>
      <w:pPr>
        <w:spacing w:after="120"/>
      </w:pPr>
      <w:r>
        <w:t xml:space="preserve">  for normal text.</w:t>
      </w:r>
    </w:p>
    <w:p>
      <w:pPr>
        <w:pStyle w:val="ListBullet"/>
        <w:spacing w:after="40"/>
      </w:pPr>
      <w:r>
        <w:rPr>
          <w:b/>
          <w:color w:val="1B3A6B"/>
        </w:rPr>
        <w:t>Keyboard path through login.</w:t>
      </w:r>
      <w:r>
        <w:t xml:space="preserve"> Tab order is logical (email, password, sign</w:t>
      </w:r>
    </w:p>
    <w:p>
      <w:pPr>
        <w:spacing w:after="120"/>
      </w:pPr>
      <w:r>
        <w:t xml:space="preserve">  in, SSO, back to site) and everything is reachable without a mouse.</w:t>
      </w:r>
    </w:p>
    <w:p>
      <w:pPr>
        <w:pStyle w:val="ListBullet"/>
        <w:spacing w:after="40"/>
      </w:pPr>
      <w:r>
        <w:rPr>
          <w:b/>
          <w:color w:val="1B3A6B"/>
        </w:rPr>
        <w:t>Error messaging.</w:t>
      </w:r>
      <w:r>
        <w:t xml:space="preserve"> A wrong password shows "Invalid email or password" - a</w:t>
      </w:r>
    </w:p>
    <w:p>
      <w:pPr>
        <w:spacing w:after="120"/>
      </w:pPr>
      <w:r>
        <w:t xml:space="preserve">  clear recovery message that deliberately does not reveal which half was wrong.</w:t>
      </w:r>
    </w:p>
    <w:p>
      <w:pPr>
        <w:pStyle w:val="ListBullet"/>
        <w:spacing w:after="40"/>
      </w:pPr>
      <w:r>
        <w:rPr>
          <w:b/>
          <w:color w:val="1B3A6B"/>
        </w:rPr>
        <w:t>Honest placeholder.</w:t>
      </w:r>
      <w:r>
        <w:t xml:space="preserve"> The SSO button is labelled "Sign in with SSO</w:t>
      </w:r>
    </w:p>
    <w:p>
      <w:pPr>
        <w:spacing w:after="120"/>
      </w:pPr>
      <w:r>
        <w:t xml:space="preserve">  (Disabled)", so it cannot be mistaken for a broken control.</w:t>
      </w:r>
    </w:p>
    <w:p>
      <w:pPr>
        <w:pStyle w:val="ListBullet"/>
        <w:spacing w:after="40"/>
      </w:pPr>
      <w:r>
        <w:rPr>
          <w:b/>
          <w:color w:val="1B3A6B"/>
        </w:rPr>
        <w:t>Table semantics.</w:t>
      </w:r>
      <w:r>
        <w:t xml:space="preserve"> The audit log renders as a real </w:t>
      </w:r>
      <w:r>
        <w:rPr>
          <w:rFonts w:ascii="Courier New" w:hAnsi="Courier New"/>
          <w:color w:val="1B3A6B"/>
          <w:sz w:val="18"/>
        </w:rPr>
        <w:t>&lt;table&gt;</w:t>
      </w:r>
      <w:r>
        <w:t xml:space="preserve"> with proper</w:t>
      </w:r>
    </w:p>
    <w:p>
      <w:pPr>
        <w:spacing w:after="120"/>
      </w:pPr>
      <w:r>
        <w:t xml:space="preserve">  header cells, so screen readers get column context for free.</w:t>
      </w:r>
    </w:p>
    <w:p>
      <w:pPr>
        <w:pStyle w:val="ListBullet"/>
        <w:spacing w:after="40"/>
      </w:pPr>
      <w:r>
        <w:rPr>
          <w:b/>
          <w:color w:val="1B3A6B"/>
        </w:rPr>
        <w:t>Risk is never colour-alone.</w:t>
      </w:r>
      <w:r>
        <w:t xml:space="preserve"> Every risk and outcome badge pairs colour with</w:t>
      </w:r>
    </w:p>
    <w:p>
      <w:pPr>
        <w:spacing w:after="120"/>
      </w:pPr>
      <w:r>
        <w:t xml:space="preserve">  a text label, which is what keeps U-05/U-06 at Medium rather than High.</w:t>
      </w:r>
    </w:p>
    <w:p>
      <w:pPr>
        <w:spacing w:before="280"/>
      </w:pPr>
      <w:r>
        <w:rPr>
          <w:b/>
          <w:color w:val="1B3A6B"/>
          <w:sz w:val="26"/>
        </w:rPr>
        <w:t>4. Feedback from real viewers</w:t>
      </w:r>
    </w:p>
    <w:p>
      <w:pPr>
        <w:spacing w:after="120"/>
      </w:pPr>
      <w:r>
        <w:t>We did not have access to a pool of enterprise compliance officers, so the</w:t>
      </w:r>
    </w:p>
    <w:p>
      <w:pPr>
        <w:spacing w:after="120"/>
      </w:pPr>
      <w:r>
        <w:t>feedback below is opportunistic rather than sampled - but all of it changed the</w:t>
      </w:r>
    </w:p>
    <w:p>
      <w:pPr>
        <w:spacing w:after="120"/>
      </w:pPr>
      <w:r>
        <w:t>product, which is the point of collecting 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5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FEEDBACK</w:t>
            </w:r>
          </w:p>
        </w:tc>
        <w:tc>
          <w:tcPr>
            <w:tcW w:type="dxa" w:w="35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WHAT WE CHANGED</w:t>
            </w:r>
          </w:p>
        </w:tc>
      </w:tr>
      <w:tr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Anthony Autore (sponsor), A3 review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Lead with interception, not inventory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Dashboard now opens on the live intercepted-actions feed</w:t>
            </w:r>
          </w:p>
        </w:tc>
      </w:tr>
      <w:tr>
        <w:tc>
          <w:tcPr>
            <w:tcW w:type="dxa" w:w="35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Supervisor email, June</w:t>
            </w:r>
          </w:p>
        </w:tc>
        <w:tc>
          <w:tcPr>
            <w:tcW w:type="dxa" w:w="35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 new viewer should understand the system in a few minutes</w:t>
            </w:r>
          </w:p>
        </w:tc>
        <w:tc>
          <w:tcPr>
            <w:tcW w:type="dxa" w:w="35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Public landing page plus the self-contained healthcare demo scenario</w:t>
            </w:r>
          </w:p>
        </w:tc>
      </w:tr>
      <w:tr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Exhibition visitors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Wanted the "what is this and why should I care" story before seeing a console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The landing page exists because of this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5. What we did not do</w:t>
      </w:r>
    </w:p>
    <w:p>
      <w:pPr>
        <w:pStyle w:val="ListBullet"/>
        <w:spacing w:after="40"/>
      </w:pPr>
      <w:r>
        <w:rPr>
          <w:b/>
          <w:color w:val="1B3A6B"/>
        </w:rPr>
        <w:t>No moderated user testing.</w:t>
      </w:r>
      <w:r>
        <w:t xml:space="preserve"> We did not run task-based sessions with</w:t>
      </w:r>
    </w:p>
    <w:p>
      <w:pPr>
        <w:spacing w:after="120"/>
      </w:pPr>
      <w:r>
        <w:t xml:space="preserve">  recruited participants, and we did not administer SUS - with only the team as</w:t>
      </w:r>
    </w:p>
    <w:p>
      <w:pPr>
        <w:spacing w:after="120"/>
      </w:pPr>
      <w:r>
        <w:t xml:space="preserve">  a sample the numbers would be noise, not evidence. The right participants are</w:t>
      </w:r>
    </w:p>
    <w:p>
      <w:pPr>
        <w:spacing w:after="120"/>
      </w:pPr>
      <w:r>
        <w:t xml:space="preserve">  the sponsor's compliance staff; sessions with them are the first item we would</w:t>
      </w:r>
    </w:p>
    <w:p>
      <w:pPr>
        <w:spacing w:after="120"/>
      </w:pPr>
      <w:r>
        <w:t xml:space="preserve">  schedule in A5.</w:t>
      </w:r>
    </w:p>
    <w:p>
      <w:pPr>
        <w:pStyle w:val="ListBullet"/>
        <w:spacing w:after="40"/>
      </w:pPr>
      <w:r>
        <w:rPr>
          <w:b/>
          <w:color w:val="1B3A6B"/>
        </w:rPr>
        <w:t>Screen reader coverage is partial.</w:t>
      </w:r>
      <w:r>
        <w:t xml:space="preserve"> We audited the semantics (tables,</w:t>
      </w:r>
    </w:p>
    <w:p>
      <w:pPr>
        <w:spacing w:after="120"/>
      </w:pPr>
      <w:r>
        <w:t xml:space="preserve">  labels, names) programmatically but did not do a full NVDA/VoiceOver</w:t>
      </w:r>
    </w:p>
    <w:p>
      <w:pPr>
        <w:spacing w:after="120"/>
      </w:pPr>
      <w:r>
        <w:t xml:space="preserve">  run-through.</w:t>
      </w:r>
    </w:p>
    <w:p>
      <w:pPr>
        <w:pStyle w:val="ListBullet"/>
        <w:spacing w:after="40"/>
      </w:pPr>
      <w:r>
        <w:rPr>
          <w:b/>
          <w:color w:val="1B3A6B"/>
        </w:rPr>
        <w:t>Contrast audit scope.</w:t>
      </w:r>
      <w:r>
        <w:t xml:space="preserve"> We measured every pair documented in the branding</w:t>
      </w:r>
    </w:p>
    <w:p>
      <w:pPr>
        <w:spacing w:after="120"/>
      </w:pPr>
      <w:r>
        <w:t xml:space="preserve">  style guide; ad hoc colours in individual components were not exhaustively</w:t>
      </w:r>
    </w:p>
    <w:p>
      <w:pPr>
        <w:spacing w:after="120"/>
      </w:pPr>
      <w:r>
        <w:t xml:space="preserve">  swept.</w:t>
      </w:r>
    </w:p>
    <w:p>
      <w:pPr>
        <w:spacing w:before="280"/>
      </w:pPr>
      <w:r>
        <w:rPr>
          <w:b/>
          <w:color w:val="1B3A6B"/>
          <w:sz w:val="26"/>
        </w:rPr>
        <w:t>6. Summary</w:t>
      </w:r>
    </w:p>
    <w:p>
      <w:pPr>
        <w:spacing w:after="120"/>
      </w:pPr>
      <w:r>
        <w:t>The implemented console holds up well against the heuristics it was designed to:</w:t>
      </w:r>
    </w:p>
    <w:p>
      <w:pPr>
        <w:spacing w:after="120"/>
      </w:pPr>
      <w:r>
        <w:t>status is visible everywhere, errors are recoverable and clearly worded, and the</w:t>
      </w:r>
    </w:p>
    <w:p>
      <w:pPr>
        <w:spacing w:after="120"/>
      </w:pPr>
      <w:r>
        <w:t>structural palette is comfortably AA-compliant. The audit still earned its keep -</w:t>
      </w:r>
    </w:p>
    <w:p>
      <w:pPr>
        <w:spacing w:after="120"/>
      </w:pPr>
      <w:r>
        <w:t>it caught a login-breaking bug before submission, plus four fixed and five open</w:t>
      </w:r>
    </w:p>
    <w:p>
      <w:pPr>
        <w:spacing w:after="120"/>
      </w:pPr>
      <w:r>
        <w:t>issues, each open one with a tested replacement value ready to apply. The gap</w:t>
      </w:r>
    </w:p>
    <w:p>
      <w:pPr>
        <w:spacing w:after="120"/>
      </w:pPr>
      <w:r>
        <w:t>that matters is moderated testing with real compliance users, which needs access</w:t>
      </w:r>
    </w:p>
    <w:p>
      <w:pPr>
        <w:spacing w:after="120"/>
      </w:pPr>
      <w:r>
        <w:t>we do not have this session and is flagged for A5.</w:t>
      </w:r>
    </w:p>
    <w:sectPr w:rsidR="00FC693F" w:rsidRPr="0006063C" w:rsidSect="00034616">
      <w:footerReference w:type="default" r:id="rId9"/>
      <w:pgSz w:w="12240" w:h="15840"/>
      <w:pgMar w:top="1008" w:right="792" w:bottom="100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9"/>
        <w:sz w:val="15"/>
      </w:rPr>
      <w:t>CERTACITO.AI          University of Wollongong | CSIT321 | 2026 | Group 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Certacito.ai - Usability Evaluation</dc:title>
  <dc:subject>A4 Prototype Presentation appendix</dc:subject>
  <dc:creator>Group 28, CSIT321, University of Wollongong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CSIT321 A4</cp:category>
</cp:coreProperties>
</file>