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Interface Design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interface-design.md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A3 presented eight high-fidelity Figma screens. A4 is those screens</w:t>
      </w:r>
    </w:p>
    <w:p>
      <w:pPr>
        <w:spacing w:after="120"/>
      </w:pPr>
      <w:r>
        <w:t>implemented as a working React app fed by the real API. This doc lists where the</w:t>
      </w:r>
    </w:p>
    <w:p>
      <w:pPr>
        <w:spacing w:after="120"/>
      </w:pPr>
      <w:r>
        <w:t>implementation deviates from the A3 designs and the reason for each change.</w:t>
      </w:r>
    </w:p>
    <w:p>
      <w:pPr>
        <w:spacing w:before="280"/>
      </w:pPr>
      <w:r>
        <w:rPr>
          <w:b/>
          <w:color w:val="1B3A6B"/>
          <w:sz w:val="26"/>
        </w:rPr>
        <w:t>1. What stayed the same</w:t>
      </w:r>
    </w:p>
    <w:p>
      <w:pPr>
        <w:spacing w:after="120"/>
      </w:pPr>
      <w:r>
        <w:t>The A3 design system survived contact with implementation almost untouched:</w:t>
      </w:r>
    </w:p>
    <w:p>
      <w:pPr>
        <w:pStyle w:val="ListBullet"/>
        <w:spacing w:after="40"/>
      </w:pPr>
      <w:r>
        <w:t>Colour system and its "one job per colour" rule (navy structure, teal active/permit,</w:t>
      </w:r>
    </w:p>
    <w:p>
      <w:pPr>
        <w:spacing w:after="120"/>
      </w:pPr>
      <w:r>
        <w:t xml:space="preserve">  red critical/deny, green permit/pass, amber escalate).</w:t>
      </w:r>
    </w:p>
    <w:p>
      <w:pPr>
        <w:pStyle w:val="ListBullet"/>
        <w:spacing w:after="40"/>
      </w:pPr>
      <w:r>
        <w:t>Persistent navy sidebar, breadcrumb header, card-on-grey layout.</w:t>
      </w:r>
    </w:p>
    <w:p>
      <w:pPr>
        <w:pStyle w:val="ListBullet"/>
        <w:spacing w:after="40"/>
      </w:pPr>
      <w:r>
        <w:t>Unified risk/outcome badges - colour always paired with a text label (WCAG 2.1 AA,</w:t>
      </w:r>
    </w:p>
    <w:p>
      <w:pPr>
        <w:spacing w:after="120"/>
      </w:pPr>
      <w:r>
        <w:t xml:space="preserve">  risk is never conveyed by colour alone).</w:t>
      </w:r>
    </w:p>
    <w:p>
      <w:pPr>
        <w:pStyle w:val="ListBullet"/>
        <w:spacing w:after="40"/>
      </w:pPr>
      <w:r>
        <w:t>Screen set and the two persona journeys (Compliance Officer triage path,</w:t>
      </w:r>
    </w:p>
    <w:p>
      <w:pPr>
        <w:spacing w:after="120"/>
      </w:pPr>
      <w:r>
        <w:t xml:space="preserve">  DevSecOps configuration path).</w:t>
      </w:r>
    </w:p>
    <w:p>
      <w:pPr>
        <w:pStyle w:val="ListBullet"/>
        <w:spacing w:after="40"/>
      </w:pPr>
      <w:r>
        <w:t>Expandable row detail on the audit log and approval queue.</w:t>
      </w:r>
    </w:p>
    <w:p>
      <w:pPr>
        <w:spacing w:before="280"/>
      </w:pPr>
      <w:r>
        <w:rPr>
          <w:b/>
          <w:color w:val="1B3A6B"/>
          <w:sz w:val="26"/>
        </w:rPr>
        <w:t>2. What changed, and why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A3 DESIGN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A4 IMPLEMENTATION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WHY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Sign-in via Azure AD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Local JWT login (email + bcrypt password), SSO button kept as inactive placeholder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Live on an Azure VM in australiaeast. JWT + RBAC gives the same role-gated behaviour to demo; the SSO swap is isolated inside </w:t>
            </w:r>
            <w:r>
              <w:rPr>
                <w:rFonts w:ascii="Courier New" w:hAnsi="Courier New"/>
                <w:color w:val="1B3A6B"/>
                <w:sz w:val="16"/>
              </w:rPr>
              <w:t>auth.py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Typography: Inter / JetBrains Mono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Arial / Courier New system stack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Licensing-free system fonts render identically across marker machines with zero font loading. Visual intent (prose vs system identifiers) is preserved. Revisit for production.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Static mock numbers in every panel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All KPIs, feeds, charts and tables driven by the live API; WebSocket push for instant updates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A3 prototype only had to look real. A4 has to be real - a live simulator (~4 events/min) plus the OpenClaw agent feed the same pipeline a customer deployment would.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Audit "Export modal"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Direct Export CSV (client-side) + Export PDF (print stylesheet) + a new </w:t>
            </w:r>
            <w:r>
              <w:rPr>
                <w:b/>
                <w:color w:val="1B3A6B"/>
                <w:sz w:val="16"/>
              </w:rPr>
              <w:t>Verify chain</w:t>
            </w:r>
            <w:r>
              <w:rPr>
                <w:sz w:val="16"/>
              </w:rPr>
              <w:t xml:space="preserve"> button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Verify chain surfaces the tamper-evidence story in one click during demos - it re-walks the whole SHA-256 chain server-side. The modal added a step without adding value.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landing page in A3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Public marketing landing page before login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Exhibition feedback: visitors need the "what is this and why should I care" story before the console. Also carries the group branding.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Audit detail drawer showed one exemplar record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Detail row renders the actual selected entry: masked payload, its own chain hash, previous-entry hash, real decision trail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Markers click more than one row. Mock detail on real rows read as broken.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Notifications area (bell) with static badge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Badge counts live pending approvals + criticals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Same reason as 3.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2-second polling everywhere (A3 assumed it)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WebSocket-first, 10 s fallback poll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Polling three endpoints every 2 s tripped our own API rate limit after a minute on screen. The socket is instant and cheaper.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3. Screens as implemented</w:t>
      </w:r>
    </w:p>
    <w:p>
      <w:pPr>
        <w:spacing w:after="120"/>
      </w:pPr>
      <w:r>
        <w:t xml:space="preserve">Current screenshots live in </w:t>
      </w:r>
      <w:r>
        <w:rPr>
          <w:rFonts w:ascii="Courier New" w:hAnsi="Courier New"/>
          <w:color w:val="1B3A6B"/>
          <w:sz w:val="18"/>
        </w:rPr>
        <w:t>docs/screenshots/</w:t>
      </w:r>
      <w:r>
        <w:t xml:space="preserve"> (taken from the running system,</w:t>
      </w:r>
    </w:p>
    <w:p>
      <w:pPr>
        <w:spacing w:after="120"/>
      </w:pPr>
      <w:r>
        <w:t>simulator on). Screen-by-screen purpose is unchanged from A3 section 3.3.</w:t>
      </w:r>
    </w:p>
    <w:p>
      <w:pPr>
        <w:spacing w:before="280"/>
      </w:pPr>
      <w:r>
        <w:rPr>
          <w:b/>
          <w:color w:val="1B3A6B"/>
          <w:sz w:val="26"/>
        </w:rPr>
        <w:t>4. Sponsor/supervisor feedback applied</w:t>
      </w:r>
    </w:p>
    <w:p>
      <w:pPr>
        <w:pStyle w:val="ListBullet"/>
        <w:spacing w:after="40"/>
      </w:pPr>
      <w:r>
        <w:t>"Interception-first framing" (Anthony, A3 review) - the dashboard leads with the</w:t>
      </w:r>
    </w:p>
    <w:p>
      <w:pPr>
        <w:spacing w:after="120"/>
      </w:pPr>
      <w:r>
        <w:t xml:space="preserve">  live intercepted-actions feed, not agent inventory.</w:t>
      </w:r>
    </w:p>
    <w:p>
      <w:pPr>
        <w:pStyle w:val="ListBullet"/>
        <w:spacing w:after="40"/>
      </w:pPr>
      <w:r>
        <w:t>"Understandable in a few minutes by someone new" (supervisor email, June) - the</w:t>
      </w:r>
    </w:p>
    <w:p>
      <w:pPr>
        <w:spacing w:after="120"/>
      </w:pPr>
      <w:r>
        <w:t xml:space="preserve">  landing page + healthcare demo scenario (</w:t>
      </w:r>
      <w:r>
        <w:rPr>
          <w:rFonts w:ascii="Courier New" w:hAnsi="Courier New"/>
          <w:color w:val="1B3A6B"/>
          <w:sz w:val="18"/>
        </w:rPr>
        <w:t>POST /api/v1/demo/healthcare-scenario</w:t>
      </w:r>
      <w:r>
        <w:t>)</w:t>
      </w:r>
    </w:p>
    <w:p>
      <w:pPr>
        <w:spacing w:after="120"/>
      </w:pPr>
      <w:r>
        <w:t xml:space="preserve">  give a self-contained walkthrough.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Interface Design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