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7377"/>
          <w:sz w:val="22"/>
        </w:rPr>
        <w:t>GROUP 28  ·  CSIT321</w:t>
      </w:r>
    </w:p>
    <w:p>
      <w:r>
        <w:rPr>
          <w:b/>
          <w:color w:val="1B3A6B"/>
          <w:sz w:val="60"/>
        </w:rPr>
        <w:t>Sprint Progress Against the A2 Plan</w:t>
      </w:r>
    </w:p>
    <w:p>
      <w:r>
        <w:rPr>
          <w:color w:val="6B7A99"/>
          <w:sz w:val="24"/>
        </w:rPr>
        <w:t>Certacito.ai  ·  A4 Prototype Presentation appendix</w:t>
      </w:r>
    </w:p>
    <w:p/>
    <w:p>
      <w:pPr>
        <w:spacing w:after="40"/>
      </w:pPr>
      <w:r>
        <w:rPr>
          <w:b/>
          <w:color w:val="1B3A6B"/>
          <w:sz w:val="20"/>
        </w:rPr>
        <w:t xml:space="preserve">Project   </w:t>
      </w:r>
      <w:r>
        <w:rPr>
          <w:color w:val="6B7A99"/>
          <w:sz w:val="20"/>
        </w:rPr>
        <w:t>Certacito.ai, AI agent governance platform</w:t>
      </w:r>
    </w:p>
    <w:p>
      <w:pPr>
        <w:spacing w:after="40"/>
      </w:pPr>
      <w:r>
        <w:rPr>
          <w:b/>
          <w:color w:val="1B3A6B"/>
          <w:sz w:val="20"/>
        </w:rPr>
        <w:t xml:space="preserve">Document   </w:t>
      </w:r>
      <w:r>
        <w:rPr>
          <w:color w:val="6B7A99"/>
          <w:sz w:val="20"/>
        </w:rPr>
        <w:t>sprint-progress.md</w:t>
      </w:r>
    </w:p>
    <w:p>
      <w:pPr>
        <w:spacing w:after="40"/>
      </w:pPr>
      <w:r>
        <w:rPr>
          <w:b/>
          <w:color w:val="1B3A6B"/>
          <w:sz w:val="20"/>
        </w:rPr>
        <w:t xml:space="preserve">Date   </w:t>
      </w:r>
      <w:r>
        <w:rPr>
          <w:color w:val="6B7A99"/>
          <w:sz w:val="20"/>
        </w:rPr>
        <w:t>07 August 2026</w:t>
      </w:r>
    </w:p>
    <w:p>
      <w:pPr>
        <w:spacing w:after="40"/>
      </w:pPr>
      <w:r>
        <w:rPr>
          <w:b/>
          <w:color w:val="1B3A6B"/>
          <w:sz w:val="20"/>
        </w:rPr>
        <w:t xml:space="preserve">Live system   </w:t>
      </w:r>
      <w:r>
        <w:rPr>
          <w:color w:val="6B7A99"/>
          <w:sz w:val="20"/>
        </w:rPr>
        <w:t>http://20.92.93.30</w:t>
      </w:r>
    </w:p>
    <w:p>
      <w:r>
        <w:br w:type="page"/>
      </w:r>
    </w:p>
    <w:p>
      <w:pPr>
        <w:spacing w:after="120"/>
      </w:pPr>
      <w:r>
        <w:t>A4 appendix. Status as of 07 August 2026.</w:t>
      </w:r>
    </w:p>
    <w:p>
      <w:pPr>
        <w:spacing w:after="120"/>
      </w:pPr>
      <w:r>
        <w:t>A2 committed the group to Agile Scrum with MoSCoW prioritisation across six</w:t>
      </w:r>
    </w:p>
    <w:p>
      <w:pPr>
        <w:spacing w:after="120"/>
      </w:pPr>
      <w:r>
        <w:t>sprints. This document reports what each of those sprints actually produced,</w:t>
      </w:r>
    </w:p>
    <w:p>
      <w:pPr>
        <w:spacing w:after="120"/>
      </w:pPr>
      <w:r>
        <w:t>against the deliverables A2 named, with a pointer to where a marker can verify</w:t>
      </w:r>
    </w:p>
    <w:p>
      <w:pPr>
        <w:spacing w:after="120"/>
      </w:pPr>
      <w:r>
        <w:t>each claim in the running system or the repository.</w:t>
      </w:r>
    </w:p>
    <w:p>
      <w:pPr>
        <w:spacing w:after="120"/>
      </w:pPr>
      <w:r>
        <w:t>Deliverable wording in the tables below is quoted from A2 section 5.4 so the</w:t>
      </w:r>
    </w:p>
    <w:p>
      <w:pPr>
        <w:spacing w:after="120"/>
      </w:pPr>
      <w:r>
        <w:t xml:space="preserve">comparison is like for like. Status is one of </w:t>
      </w:r>
      <w:r>
        <w:rPr>
          <w:b/>
          <w:color w:val="1B3A6B"/>
        </w:rPr>
        <w:t>Done</w:t>
      </w:r>
      <w:r>
        <w:t xml:space="preserve">, </w:t>
      </w:r>
      <w:r>
        <w:rPr>
          <w:b/>
          <w:color w:val="1B3A6B"/>
        </w:rPr>
        <w:t>Partial</w:t>
      </w:r>
      <w:r>
        <w:t>,</w:t>
      </w:r>
    </w:p>
    <w:p>
      <w:pPr>
        <w:spacing w:after="120"/>
      </w:pPr>
      <w:r>
        <w:rPr>
          <w:b/>
          <w:color w:val="1B3A6B"/>
        </w:rPr>
        <w:t>Descoped</w:t>
      </w:r>
      <w:r>
        <w:t xml:space="preserve">, </w:t>
      </w:r>
      <w:r>
        <w:rPr>
          <w:b/>
          <w:color w:val="1B3A6B"/>
        </w:rPr>
        <w:t>Blocked</w:t>
      </w:r>
      <w:r>
        <w:t xml:space="preserve"> or </w:t>
      </w:r>
      <w:r>
        <w:rPr>
          <w:b/>
          <w:color w:val="1B3A6B"/>
        </w:rPr>
        <w:t>Not done</w:t>
      </w:r>
      <w:r>
        <w:t>. Items that were not delivered are</w:t>
      </w:r>
    </w:p>
    <w:p>
      <w:pPr>
        <w:spacing w:after="120"/>
      </w:pPr>
      <w:r>
        <w:t>listed as not delivered rather than reworded into something that was.</w:t>
      </w:r>
    </w:p>
    <w:p>
      <w:pPr>
        <w:spacing w:before="280"/>
      </w:pPr>
      <w:r>
        <w:rPr>
          <w:b/>
          <w:color w:val="1B3A6B"/>
          <w:sz w:val="26"/>
        </w:rPr>
        <w:t>The MVP the sprints were building toward</w:t>
      </w:r>
    </w:p>
    <w:p>
      <w:pPr>
        <w:spacing w:after="120"/>
      </w:pPr>
      <w:r>
        <w:t>Quoted from A2 section 7.2:</w:t>
      </w:r>
    </w:p>
    <w:p>
      <w:pPr>
        <w:ind w:left="432"/>
      </w:pPr>
      <w:r>
        <w:rPr>
          <w:i/>
          <w:color w:val="40506B"/>
        </w:rPr>
        <w:t>A governance harness for agentic AI systems that intercepts agent tool calls</w:t>
      </w:r>
    </w:p>
    <w:p>
      <w:pPr>
        <w:ind w:left="432"/>
      </w:pPr>
      <w:r>
        <w:rPr>
          <w:i/>
          <w:color w:val="40506B"/>
        </w:rPr>
        <w:t>before execution, enforces a deterministic policy engine, and produces a</w:t>
      </w:r>
    </w:p>
    <w:p>
      <w:pPr>
        <w:ind w:left="432"/>
      </w:pPr>
      <w:r>
        <w:rPr>
          <w:i/>
          <w:color w:val="40506B"/>
        </w:rPr>
        <w:t>tamper-evident audit trail suitable for regulatory inspection on Microsoft</w:t>
      </w:r>
    </w:p>
    <w:p>
      <w:pPr>
        <w:ind w:left="432"/>
      </w:pPr>
      <w:r>
        <w:rPr>
          <w:i/>
          <w:color w:val="40506B"/>
        </w:rPr>
        <w:t>Azure with role-based access control, human-in-the-loop approval workflows,</w:t>
      </w:r>
    </w:p>
    <w:p>
      <w:pPr>
        <w:ind w:left="432"/>
      </w:pPr>
      <w:r>
        <w:rPr>
          <w:i/>
          <w:color w:val="40506B"/>
        </w:rPr>
        <w:t>and a real-time governance dashboard.</w:t>
      </w:r>
    </w:p>
    <w:p>
      <w:pPr>
        <w:spacing w:after="120"/>
      </w:pPr>
      <w:r>
        <w:t>Every clause of that definition is implemented and demonstrable. The sections</w:t>
      </w:r>
    </w:p>
    <w:p>
      <w:pPr>
        <w:spacing w:after="120"/>
      </w:pPr>
      <w:r>
        <w:t>below show which sprint each clause came from and where it can be verified.</w:t>
      </w:r>
    </w:p>
    <w:p>
      <w:pPr>
        <w:spacing w:before="280"/>
      </w:pPr>
      <w:r>
        <w:rPr>
          <w:b/>
          <w:color w:val="1B3A6B"/>
          <w:sz w:val="26"/>
        </w:rPr>
        <w:t>Sprint 1 (weeks 1-2) - Requirements, architecture,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A2 DELIVERABLE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Architecture decision records documented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Not done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No ADR set exists. The decisions themselves were made and are written up in prose in </w:t>
            </w:r>
            <w:r>
              <w:rPr>
                <w:rFonts w:ascii="Courier New" w:hAnsi="Courier New"/>
                <w:color w:val="1B3A6B"/>
                <w:sz w:val="16"/>
              </w:rPr>
              <w:t>docs/architecture.md</w:t>
            </w:r>
            <w:r>
              <w:rPr>
                <w:sz w:val="16"/>
              </w:rPr>
              <w:t xml:space="preserve"> (fail-closed at four points, hash preimage covering every column, VM over App Service), but not in the ADR format A2 committed to.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Azure environment set up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Ubuntu 24.04 VM in </w:t>
            </w:r>
            <w:r>
              <w:rPr>
                <w:rFonts w:ascii="Courier New" w:hAnsi="Courier New"/>
                <w:color w:val="1B3A6B"/>
                <w:sz w:val="16"/>
              </w:rPr>
              <w:t>australiaeast</w:t>
            </w:r>
            <w:r>
              <w:rPr>
                <w:sz w:val="16"/>
              </w:rPr>
              <w:t xml:space="preserve">, Docker Compose running Postgres 16, Redis 7 and the application image. Runbook in </w:t>
            </w:r>
            <w:r>
              <w:rPr>
                <w:rFonts w:ascii="Courier New" w:hAnsi="Courier New"/>
                <w:color w:val="1B3A6B"/>
                <w:sz w:val="16"/>
              </w:rPr>
              <w:t>docs/azure-deployment.md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GitHub Projects board running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Not done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 board is attached to the repository. Task tracking happened in the group chat and in the sprint structure itself.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Group 2 API contract agreed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Blocked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Never received. Tracked as FR-11 in the RTM.</w:t>
            </w:r>
          </w:p>
        </w:tc>
      </w:tr>
    </w:tbl>
    <w:p/>
    <w:p>
      <w:pPr>
        <w:spacing w:after="120"/>
      </w:pPr>
      <w:r>
        <w:t>Two of the four Sprint 1 deliverables were not produced. Both are process</w:t>
      </w:r>
    </w:p>
    <w:p>
      <w:pPr>
        <w:spacing w:after="120"/>
      </w:pPr>
      <w:r>
        <w:t>artefacts rather than system capability, which is why the engineering sprints</w:t>
      </w:r>
    </w:p>
    <w:p>
      <w:pPr>
        <w:spacing w:after="120"/>
      </w:pPr>
      <w:r>
        <w:t>that follow were not held up by them, but they are absent and are recorded as</w:t>
      </w:r>
    </w:p>
    <w:p>
      <w:pPr>
        <w:spacing w:after="120"/>
      </w:pPr>
      <w:r>
        <w:t>absent.</w:t>
      </w:r>
    </w:p>
    <w:p>
      <w:pPr>
        <w:spacing w:before="280"/>
      </w:pPr>
      <w:r>
        <w:rPr>
          <w:b/>
          <w:color w:val="1B3A6B"/>
          <w:sz w:val="26"/>
        </w:rPr>
        <w:t>Sprint 2 (weeks 3-4) - Interception layer and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A2 DELIVERABLE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Working interception layer capturing agent tool calls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POST /api/v1/intercept</w:t>
            </w:r>
            <w:r>
              <w:rPr>
                <w:sz w:val="16"/>
              </w:rPr>
              <w:t xml:space="preserve"> (</w:t>
            </w:r>
            <w:r>
              <w:rPr>
                <w:rFonts w:ascii="Courier New" w:hAnsi="Courier New"/>
                <w:color w:val="1B3A6B"/>
                <w:sz w:val="16"/>
              </w:rPr>
              <w:t>backend/api/interception.py</w:t>
            </w:r>
            <w:r>
              <w:rPr>
                <w:sz w:val="16"/>
              </w:rPr>
              <w:t>). Every call is evaluated and logged before the action runs. FR-01.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RBAC implemented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Administrator, Analyst, Viewer. JWT plus bcrypt, dependency on every endpoint, agent callers use </w:t>
            </w:r>
            <w:r>
              <w:rPr>
                <w:rFonts w:ascii="Courier New" w:hAnsi="Courier New"/>
                <w:color w:val="1B3A6B"/>
                <w:sz w:val="16"/>
              </w:rPr>
              <w:t>X-API-Key</w:t>
            </w:r>
            <w:r>
              <w:rPr>
                <w:sz w:val="16"/>
              </w:rPr>
              <w:t xml:space="preserve">. Regression tests in </w:t>
            </w:r>
            <w:r>
              <w:rPr>
                <w:rFonts w:ascii="Courier New" w:hAnsi="Courier New"/>
                <w:color w:val="1B3A6B"/>
                <w:sz w:val="16"/>
              </w:rPr>
              <w:t>tests/backend/test_api.py</w:t>
            </w:r>
            <w:r>
              <w:rPr>
                <w:sz w:val="16"/>
              </w:rPr>
              <w:t>. FR-04.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CI/CD pipeline running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.github/workflows/ci.yml</w:t>
            </w:r>
            <w:r>
              <w:rPr>
                <w:sz w:val="16"/>
              </w:rPr>
              <w:t xml:space="preserve"> runs the full suite plus a frontend typecheck and build on every push; </w:t>
            </w:r>
            <w:r>
              <w:rPr>
                <w:rFonts w:ascii="Courier New" w:hAnsi="Courier New"/>
                <w:color w:val="1B3A6B"/>
                <w:sz w:val="16"/>
              </w:rPr>
              <w:t>deploy.yml</w:t>
            </w:r>
            <w:r>
              <w:rPr>
                <w:sz w:val="16"/>
              </w:rPr>
              <w:t xml:space="preserve"> deploys to the VM over SSH with a forced-command key. Both verified green. FR-07.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Sprint 3 (weeks 5-6) - Policy engine and semantic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A2 DELIVERABLE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Policy engine enforcing at least two governance rules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Done, exceeds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12 rules in </w:t>
            </w:r>
            <w:r>
              <w:rPr>
                <w:rFonts w:ascii="Courier New" w:hAnsi="Courier New"/>
                <w:color w:val="1B3A6B"/>
                <w:sz w:val="16"/>
              </w:rPr>
              <w:t>backend/policies.yaml</w:t>
            </w:r>
            <w:r>
              <w:rPr>
                <w:sz w:val="16"/>
              </w:rPr>
              <w:t xml:space="preserve">, plus a 10 rule pre-built library in </w:t>
            </w:r>
            <w:r>
              <w:rPr>
                <w:rFonts w:ascii="Courier New" w:hAnsi="Courier New"/>
                <w:color w:val="1B3A6B"/>
                <w:sz w:val="16"/>
              </w:rPr>
              <w:t>rule_library.yaml</w:t>
            </w:r>
            <w:r>
              <w:rPr>
                <w:sz w:val="16"/>
              </w:rPr>
              <w:t>. Conditions are parsed, not keyword matched. FR-02, FR-10.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Semantic guardrail detecting off-topic prompts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rFonts w:ascii="Courier New" w:hAnsi="Courier New"/>
                <w:color w:val="1B3A6B"/>
                <w:sz w:val="16"/>
              </w:rPr>
              <w:t>backend/services/semantic_guard.py</w:t>
            </w:r>
            <w:r>
              <w:rPr>
                <w:sz w:val="16"/>
              </w:rPr>
              <w:t xml:space="preserve">, wired ahead of the policy engine and exposed at </w:t>
            </w:r>
            <w:r>
              <w:rPr>
                <w:rFonts w:ascii="Courier New" w:hAnsi="Courier New"/>
                <w:color w:val="1B3A6B"/>
                <w:sz w:val="16"/>
              </w:rPr>
              <w:t>/api/v1/guardrails/check</w:t>
            </w:r>
            <w:r>
              <w:rPr>
                <w:sz w:val="16"/>
              </w:rPr>
              <w:t>. Detects instruction override and exfiltration patterns; the live demo scenario scores its injection attempt at 94% confidence. FR-08.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Human approval queue working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Done, with limitation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High and Critical escalations pause into </w:t>
            </w:r>
            <w:r>
              <w:rPr>
                <w:rFonts w:ascii="Courier New" w:hAnsi="Courier New"/>
                <w:color w:val="1B3A6B"/>
                <w:sz w:val="16"/>
              </w:rPr>
              <w:t>approval_queue</w:t>
            </w:r>
            <w:r>
              <w:rPr>
                <w:sz w:val="16"/>
              </w:rPr>
              <w:t xml:space="preserve"> with an SLA deadline; reviewer identity comes from the JWT. </w:t>
            </w:r>
            <w:r>
              <w:rPr>
                <w:b/>
                <w:color w:val="1B3A6B"/>
                <w:sz w:val="16"/>
              </w:rPr>
              <w:t>Limitation:</w:t>
            </w:r>
            <w:r>
              <w:rPr>
                <w:sz w:val="16"/>
              </w:rPr>
              <w:t xml:space="preserve"> SLA expiry is evaluated when the queue is read rather than by a background worker. FR-05.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Sprint 4 (weeks 7-8) - Audit store, dashboard, Databricks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A2 DELIVERABLE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End-to-end audit trail with tamper-evident guarantees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SHA-256 chain over every stored column, walked from a fixed genesis by </w:t>
            </w:r>
            <w:r>
              <w:rPr>
                <w:rFonts w:ascii="Courier New" w:hAnsi="Courier New"/>
                <w:color w:val="1B3A6B"/>
                <w:sz w:val="16"/>
              </w:rPr>
              <w:t>GET /api/v1/audit/verify</w:t>
            </w:r>
            <w:r>
              <w:rPr>
                <w:sz w:val="16"/>
              </w:rPr>
              <w:t xml:space="preserve">, which recomputes each hash and names the first bad entry. Tamper tests in </w:t>
            </w:r>
            <w:r>
              <w:rPr>
                <w:rFonts w:ascii="Courier New" w:hAnsi="Courier New"/>
                <w:color w:val="1B3A6B"/>
                <w:sz w:val="16"/>
              </w:rPr>
              <w:t>tests/backend/test_audit.py</w:t>
            </w:r>
            <w:r>
              <w:rPr>
                <w:sz w:val="16"/>
              </w:rPr>
              <w:t>. FR-03.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Governance dashboard with real-time feeds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React dashboard on a JWT-authenticated WebSocket with a polling fallback. Live feed, KPI tiles, risk breakdown, top violations. FR-06.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Databricks migration if access confirmed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Descoped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A2 made this conditional on access being confirmed. Access was never confirmed, so the audit store stays on PostgreSQL. The hash chain provides the tamper-evidence the migration was wanted for, which is why this was descoped rather than carried.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Sprint 5 (week 9) - Integration testing and red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A2 DELIVERABLE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Group 2 integration scenario tested end to end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Blocked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Depends on an API contract from another group that was never provided. </w:t>
            </w:r>
            <w:r>
              <w:rPr>
                <w:rFonts w:ascii="Courier New" w:hAnsi="Courier New"/>
                <w:color w:val="1B3A6B"/>
                <w:sz w:val="16"/>
              </w:rPr>
              <w:t>POST /api/v1/demo/healthcare-scenario</w:t>
            </w:r>
            <w:r>
              <w:rPr>
                <w:sz w:val="16"/>
              </w:rPr>
              <w:t xml:space="preserve"> exercises the same end-to-end path against simulated GP office actions, with all five steps going through the real engine and the real semantic guard. It is a stand-in, not the integration. FR-11.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Kali Linux red team testing complete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Not done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 red team exercise was run. The adjacent evidence is the semantic guard test suite, which covers injection, jailbreak and exfiltration patterns, and the RBAC regression tests. Neither is a substitute for adversarial testing by a person.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DLP and risk classification if capacity allows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Partial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Risk classification is done (</w:t>
            </w:r>
            <w:r>
              <w:rPr>
                <w:rFonts w:ascii="Courier New" w:hAnsi="Courier New"/>
                <w:color w:val="1B3A6B"/>
                <w:sz w:val="16"/>
              </w:rPr>
              <w:t>backend/services/risk_classifier.py</w:t>
            </w:r>
            <w:r>
              <w:rPr>
                <w:sz w:val="16"/>
              </w:rPr>
              <w:t>, FR-09). Data loss prevention beyond top-level PII masking was not built. A2 marked both as capacity-permitting.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Sprint 6 (week 10) - Documentation and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A2 DELIVERABLE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Complete technical documentation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Seven appendix documents in </w:t>
            </w:r>
            <w:r>
              <w:rPr>
                <w:rFonts w:ascii="Courier New" w:hAnsi="Courier New"/>
                <w:color w:val="1B3A6B"/>
                <w:sz w:val="16"/>
              </w:rPr>
              <w:t>docs/</w:t>
            </w:r>
            <w:r>
              <w:rPr>
                <w:sz w:val="16"/>
              </w:rPr>
              <w:t>: architecture (with system and entity relationship diagrams), functionality, interface design, branding and style guide, requirements traceability, contribution table, and this document.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User guide for compliance operators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Not done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No operator-facing guide exists. </w:t>
            </w:r>
            <w:r>
              <w:rPr>
                <w:rFonts w:ascii="Courier New" w:hAnsi="Courier New"/>
                <w:color w:val="1B3A6B"/>
                <w:sz w:val="16"/>
              </w:rPr>
              <w:t>docs/live-demo-cheatsheet.md</w:t>
            </w:r>
            <w:r>
              <w:rPr>
                <w:sz w:val="16"/>
              </w:rPr>
              <w:t xml:space="preserve"> covers the same screens from a defending-the-system angle rather than an operator angle.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A3/A4 deliverables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This appendix set, the prototype presentation, and the working system.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Oral defence preparation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/>
                <w:color w:val="1B3A6B"/>
                <w:sz w:val="16"/>
              </w:rPr>
              <w:t>Done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Speaking script and a question and answer cheatsheet covering the interception path, fail-closed behaviour, the hash chain, the semantic guard, the policy engine, RBAC, API keys, approvals and reporting.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DELIVERED</w:t>
            </w:r>
          </w:p>
        </w:tc>
        <w:tc>
          <w:tcPr>
            <w:tcW w:type="dxa" w:w="4752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NOT DELIVERED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1 of 4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ADRs, Projects board, Group 2 contract (external)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3 of 3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3 of 3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2 of 3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Databricks (descoped on A2's own condition)</w:t>
            </w:r>
          </w:p>
        </w:tc>
      </w:tr>
      <w:tr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0.5 of 3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Group 2 integration (external), Kali red team, DLP</w:t>
            </w:r>
          </w:p>
        </w:tc>
      </w:tr>
      <w:tr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3 of 4</w:t>
            </w:r>
          </w:p>
        </w:tc>
        <w:tc>
          <w:tcPr>
            <w:tcW w:type="dxa" w:w="4752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operator user guide</w:t>
            </w:r>
          </w:p>
        </w:tc>
      </w:tr>
    </w:tbl>
    <w:p/>
    <w:p>
      <w:pPr>
        <w:spacing w:after="120"/>
      </w:pPr>
      <w:r>
        <w:t>The pattern is worth stating plainly rather than leaving for a marker to infer.</w:t>
      </w:r>
    </w:p>
    <w:p>
      <w:pPr>
        <w:spacing w:after="120"/>
      </w:pPr>
      <w:r>
        <w:t>Every deliverable that was a piece of the system itself was built. The gaps sit</w:t>
      </w:r>
    </w:p>
    <w:p>
      <w:pPr>
        <w:spacing w:after="120"/>
      </w:pPr>
      <w:r>
        <w:t>in two places: process artefacts the team skipped in favour of building</w:t>
      </w:r>
    </w:p>
    <w:p>
      <w:pPr>
        <w:spacing w:after="120"/>
      </w:pPr>
      <w:r>
        <w:t>(Sprint 1), and work that depended on something outside the team's control</w:t>
      </w:r>
    </w:p>
    <w:p>
      <w:pPr>
        <w:spacing w:after="120"/>
      </w:pPr>
      <w:r>
        <w:t>(Group 2) or was explicitly conditional in A2 (Databricks, DLP). The one gap</w:t>
      </w:r>
    </w:p>
    <w:p>
      <w:pPr>
        <w:spacing w:after="120"/>
      </w:pPr>
      <w:r>
        <w:t>with no excuse attached is the red team exercise, which was in scope,</w:t>
      </w:r>
    </w:p>
    <w:p>
      <w:pPr>
        <w:spacing w:after="120"/>
      </w:pPr>
      <w:r>
        <w:t>unconditional, and not done.</w:t>
      </w:r>
    </w:p>
    <w:p>
      <w:pPr>
        <w:spacing w:before="280"/>
      </w:pPr>
      <w:r>
        <w:rPr>
          <w:b/>
          <w:color w:val="1B3A6B"/>
          <w:sz w:val="26"/>
        </w:rPr>
        <w:t>Reflection: was there enough time to learn the stack?</w:t>
      </w:r>
    </w:p>
    <w:p>
      <w:pPr>
        <w:spacing w:after="120"/>
      </w:pPr>
      <w:r>
        <w:t>A2 asked the group to reflect on this. The honest answer is that the stack was</w:t>
      </w:r>
    </w:p>
    <w:p>
      <w:pPr>
        <w:spacing w:after="120"/>
      </w:pPr>
      <w:r>
        <w:t>learnable but the cost showed up in specific, traceable places rather than as a</w:t>
      </w:r>
    </w:p>
    <w:p>
      <w:pPr>
        <w:spacing w:after="120"/>
      </w:pPr>
      <w:r>
        <w:t>general slowdown, and all three of these were found late:</w:t>
      </w:r>
    </w:p>
    <w:p>
      <w:pPr>
        <w:pStyle w:val="ListBullet"/>
        <w:spacing w:after="40"/>
      </w:pPr>
      <w:r>
        <w:rPr>
          <w:b/>
          <w:color w:val="1B3A6B"/>
        </w:rPr>
        <w:t>bcrypt and passlib.</w:t>
      </w:r>
      <w:r>
        <w:t xml:space="preserve"> Every login on a clean install broke because passlib</w:t>
      </w:r>
    </w:p>
    <w:p>
      <w:pPr>
        <w:spacing w:after="120"/>
      </w:pPr>
      <w:r>
        <w:t xml:space="preserve">  probes the backend with an over-length string that bcrypt 4.1 and later raise</w:t>
      </w:r>
    </w:p>
    <w:p>
      <w:pPr>
        <w:spacing w:after="120"/>
      </w:pPr>
      <w:r>
        <w:t xml:space="preserve">  on rather than truncating. The fix was to drop passlib and call bcrypt</w:t>
      </w:r>
    </w:p>
    <w:p>
      <w:pPr>
        <w:spacing w:after="120"/>
      </w:pPr>
      <w:r>
        <w:t xml:space="preserve">  directly. Time lost to a library interaction nobody had met before.</w:t>
      </w:r>
    </w:p>
    <w:p>
      <w:pPr>
        <w:pStyle w:val="ListBullet"/>
        <w:spacing w:after="40"/>
      </w:pPr>
      <w:r>
        <w:rPr>
          <w:b/>
          <w:color w:val="1B3A6B"/>
        </w:rPr>
        <w:t>Vite does not typecheck.</w:t>
      </w:r>
      <w:r>
        <w:t xml:space="preserve"> The frontend build script only bundles. A</w:t>
      </w:r>
    </w:p>
    <w:p>
      <w:pPr>
        <w:spacing w:after="120"/>
      </w:pPr>
      <w:r>
        <w:t xml:space="preserve">  component that referenced a variable which was never passed into it built</w:t>
      </w:r>
    </w:p>
    <w:p>
      <w:pPr>
        <w:spacing w:after="120"/>
      </w:pPr>
      <w:r>
        <w:t xml:space="preserve">  cleanly and passed CI, and crashed the console the moment anyone signed in.</w:t>
      </w:r>
    </w:p>
    <w:p>
      <w:pPr>
        <w:spacing w:after="120"/>
      </w:pPr>
      <w:r>
        <w:t xml:space="preserve">  CI now runs </w:t>
      </w:r>
      <w:r>
        <w:rPr>
          <w:rFonts w:ascii="Courier New" w:hAnsi="Courier New"/>
          <w:color w:val="1B3A6B"/>
          <w:sz w:val="18"/>
        </w:rPr>
        <w:t>tsc --noEmit</w:t>
      </w:r>
      <w:r>
        <w:t xml:space="preserve"> before the build. This is exactly the class of</w:t>
      </w:r>
    </w:p>
    <w:p>
      <w:pPr>
        <w:spacing w:after="120"/>
      </w:pPr>
      <w:r>
        <w:t xml:space="preserve">  mistake a team that had used the toolchain before would not have shipped.</w:t>
      </w:r>
    </w:p>
    <w:p>
      <w:pPr>
        <w:pStyle w:val="ListBullet"/>
        <w:spacing w:after="40"/>
      </w:pPr>
      <w:r>
        <w:rPr>
          <w:b/>
          <w:color w:val="1B3A6B"/>
        </w:rPr>
        <w:t>A missing lockfile.</w:t>
      </w:r>
      <w:r>
        <w:t xml:space="preserve"> The production image runs </w:t>
      </w:r>
      <w:r>
        <w:rPr>
          <w:rFonts w:ascii="Courier New" w:hAnsi="Courier New"/>
          <w:color w:val="1B3A6B"/>
          <w:sz w:val="18"/>
        </w:rPr>
        <w:t>npm ci</w:t>
      </w:r>
      <w:r>
        <w:t>, which refuses to</w:t>
      </w:r>
    </w:p>
    <w:p>
      <w:pPr>
        <w:spacing w:after="120"/>
      </w:pPr>
      <w:r>
        <w:t xml:space="preserve">  install without </w:t>
      </w:r>
      <w:r>
        <w:rPr>
          <w:rFonts w:ascii="Courier New" w:hAnsi="Courier New"/>
          <w:color w:val="1B3A6B"/>
          <w:sz w:val="18"/>
        </w:rPr>
        <w:t>package-lock.json</w:t>
      </w:r>
      <w:r>
        <w:t xml:space="preserve">. CI used </w:t>
      </w:r>
      <w:r>
        <w:rPr>
          <w:rFonts w:ascii="Courier New" w:hAnsi="Courier New"/>
          <w:color w:val="1B3A6B"/>
          <w:sz w:val="18"/>
        </w:rPr>
        <w:t>npm install</w:t>
      </w:r>
      <w:r>
        <w:t>, which does not</w:t>
      </w:r>
    </w:p>
    <w:p>
      <w:pPr>
        <w:spacing w:after="120"/>
      </w:pPr>
      <w:r>
        <w:t xml:space="preserve">  need one, so CI stayed green over a tree whose production image could not</w:t>
      </w:r>
    </w:p>
    <w:p>
      <w:pPr>
        <w:spacing w:after="120"/>
      </w:pPr>
      <w:r>
        <w:t xml:space="preserve">  build at all. CI now runs </w:t>
      </w:r>
      <w:r>
        <w:rPr>
          <w:rFonts w:ascii="Courier New" w:hAnsi="Courier New"/>
          <w:color w:val="1B3A6B"/>
          <w:sz w:val="18"/>
        </w:rPr>
        <w:t>npm ci</w:t>
      </w:r>
      <w:r>
        <w:t xml:space="preserve"> so it fails the same way the image does.</w:t>
      </w:r>
    </w:p>
    <w:p>
      <w:pPr>
        <w:spacing w:after="120"/>
      </w:pPr>
      <w:r>
        <w:t>The common thread is that the team's checks agreed with each other while</w:t>
      </w:r>
    </w:p>
    <w:p>
      <w:pPr>
        <w:spacing w:after="120"/>
      </w:pPr>
      <w:r>
        <w:t>disagreeing with reality. Given the same ten weeks again, the useful change</w:t>
      </w:r>
    </w:p>
    <w:p>
      <w:pPr>
        <w:spacing w:after="120"/>
      </w:pPr>
      <w:r>
        <w:t>would not be more time on the language or the framework. It would be making</w:t>
      </w:r>
    </w:p>
    <w:p>
      <w:pPr>
        <w:spacing w:after="120"/>
      </w:pPr>
      <w:r>
        <w:t>the pipeline exercise the same paths as production from Sprint 2, so a green</w:t>
      </w:r>
    </w:p>
    <w:p>
      <w:pPr>
        <w:spacing w:after="120"/>
      </w:pPr>
      <w:r>
        <w:t>badge means something.</w:t>
      </w:r>
    </w:p>
    <w:sectPr w:rsidR="00FC693F" w:rsidRPr="0006063C" w:rsidSect="00034616">
      <w:footerReference w:type="default" r:id="rId9"/>
      <w:pgSz w:w="15840" w:h="12240" w:orient="landscape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9"/>
        <w:sz w:val="15"/>
      </w:rPr>
      <w:t>CERTACITO.AI          University of Wollongong | CSIT321 | 2026 | Group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Certacito.ai - Sprint Progress Against the A2 Plan</dc:title>
  <dc:subject>A4 Prototype Presentation appendix</dc:subject>
  <dc:creator>Group 28, CSIT321, University of Wollongong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CSIT321 A4</cp:category>
</cp:coreProperties>
</file>