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D7377"/>
          <w:sz w:val="22"/>
        </w:rPr>
        <w:t>GROUP 28  ·  CSIT321</w:t>
      </w:r>
    </w:p>
    <w:p>
      <w:r>
        <w:rPr>
          <w:b/>
          <w:color w:val="1B3A6B"/>
          <w:sz w:val="60"/>
        </w:rPr>
        <w:t>System Architecture</w:t>
      </w:r>
    </w:p>
    <w:p>
      <w:r>
        <w:rPr>
          <w:color w:val="6B7A99"/>
          <w:sz w:val="24"/>
        </w:rPr>
        <w:t>Certacito.ai  ·  A4 Prototype Presentation appendix</w:t>
      </w:r>
    </w:p>
    <w:p/>
    <w:p>
      <w:pPr>
        <w:spacing w:after="40"/>
      </w:pPr>
      <w:r>
        <w:rPr>
          <w:b/>
          <w:color w:val="1B3A6B"/>
          <w:sz w:val="20"/>
        </w:rPr>
        <w:t xml:space="preserve">Project   </w:t>
      </w:r>
      <w:r>
        <w:rPr>
          <w:color w:val="6B7A99"/>
          <w:sz w:val="20"/>
        </w:rPr>
        <w:t>Certacito.ai, AI agent governance platform</w:t>
      </w:r>
    </w:p>
    <w:p>
      <w:pPr>
        <w:spacing w:after="40"/>
      </w:pPr>
      <w:r>
        <w:rPr>
          <w:b/>
          <w:color w:val="1B3A6B"/>
          <w:sz w:val="20"/>
        </w:rPr>
        <w:t xml:space="preserve">Document   </w:t>
      </w:r>
      <w:r>
        <w:rPr>
          <w:color w:val="6B7A99"/>
          <w:sz w:val="20"/>
        </w:rPr>
        <w:t>architecture.md</w:t>
      </w:r>
    </w:p>
    <w:p>
      <w:pPr>
        <w:spacing w:after="40"/>
      </w:pPr>
      <w:r>
        <w:rPr>
          <w:b/>
          <w:color w:val="1B3A6B"/>
          <w:sz w:val="20"/>
        </w:rPr>
        <w:t xml:space="preserve">Date   </w:t>
      </w:r>
      <w:r>
        <w:rPr>
          <w:color w:val="6B7A99"/>
          <w:sz w:val="20"/>
        </w:rPr>
        <w:t>07 August 2026</w:t>
      </w:r>
    </w:p>
    <w:p>
      <w:pPr>
        <w:spacing w:after="40"/>
      </w:pPr>
      <w:r>
        <w:rPr>
          <w:b/>
          <w:color w:val="1B3A6B"/>
          <w:sz w:val="20"/>
        </w:rPr>
        <w:t xml:space="preserve">Live system   </w:t>
      </w:r>
      <w:r>
        <w:rPr>
          <w:color w:val="6B7A99"/>
          <w:sz w:val="20"/>
        </w:rPr>
        <w:t>http://20.92.93.30</w:t>
      </w:r>
    </w:p>
    <w:p>
      <w:r>
        <w:br w:type="page"/>
      </w:r>
    </w:p>
    <w:p>
      <w:pPr>
        <w:spacing w:after="120"/>
      </w:pPr>
      <w:r>
        <w:t>Certacito.ai is a governance layer that sits between an AI agent and the actions it</w:t>
      </w:r>
    </w:p>
    <w:p>
      <w:pPr>
        <w:spacing w:after="120"/>
      </w:pPr>
      <w:r>
        <w:t>wants to take. Every tool call is intercepted before execution, evaluated against</w:t>
      </w:r>
    </w:p>
    <w:p>
      <w:pPr>
        <w:spacing w:after="120"/>
      </w:pPr>
      <w:r>
        <w:t>policy that lives outside the model, and recorded in a tamper-evident log.</w:t>
      </w:r>
    </w:p>
    <w:p>
      <w:pPr>
        <w:spacing w:after="120"/>
      </w:pPr>
      <w:r>
        <w:t>This describes what is actually built and deployed, not a target state.</w:t>
      </w:r>
    </w:p>
    <w:p>
      <w:pPr>
        <w:spacing w:before="280"/>
      </w:pPr>
      <w:r>
        <w:rPr>
          <w:b/>
          <w:color w:val="1B3A6B"/>
          <w:sz w:val="26"/>
        </w:rPr>
        <w:t>The layers</w:t>
      </w:r>
    </w:p>
    <w:p>
      <w:pPr>
        <w:shd w:val="clear" w:fill="F4F6F9"/>
      </w:pPr>
      <w:r>
        <w:rPr>
          <w:rFonts w:ascii="Courier New" w:hAnsi="Courier New"/>
          <w:sz w:val="16"/>
        </w:rPr>
        <w:t xml:space="preserve">  Agent (OpenClaw)</w:t>
        <w:br/>
        <w:t xml:space="preserve">        |  tool call proposed</w:t>
        <w:br/>
        <w:t xml:space="preserve">        v</w:t>
        <w:br/>
        <w:t xml:space="preserve">  Interception hook          certacito-hook / certacito-exec-gate</w:t>
        <w:br/>
        <w:t xml:space="preserve">        |  POST /api/v1/intercept  (X-API-Key)</w:t>
        <w:br/>
        <w:t xml:space="preserve">        v</w:t>
        <w:br/>
        <w:t xml:space="preserve">  Governance API             FastAPI, Python 3.13</w:t>
        <w:br/>
        <w:t xml:space="preserve">        |-- semantic guardrail      (runs first, can short-circuit)</w:t>
        <w:br/>
        <w:t xml:space="preserve">        |-- risk classifier</w:t>
        <w:br/>
        <w:t xml:space="preserve">        |-- policy engine           (fail-closed)</w:t>
        <w:br/>
        <w:t xml:space="preserve">        |-- approval service        (on ESCALATE)</w:t>
        <w:br/>
        <w:t xml:space="preserve">        v</w:t>
        <w:br/>
        <w:t xml:space="preserve">  Persistence                PostgreSQL 16 (audit chain, queue, rules, users)</w:t>
        <w:br/>
        <w:t xml:space="preserve">                             Redis 7 (rate limiting, transient state)</w:t>
        <w:br/>
        <w:t xml:space="preserve">        |</w:t>
        <w:br/>
        <w:t xml:space="preserve">        v</w:t>
        <w:br/>
        <w:t xml:space="preserve">  Dashboard                  React 18 SPA, WebSocket push</w:t>
      </w:r>
    </w:p>
    <w:p>
      <w:pPr>
        <w:spacing w:before="280"/>
      </w:pPr>
      <w:r>
        <w:rPr>
          <w:b/>
          <w:color w:val="1B3A6B"/>
          <w:sz w:val="26"/>
        </w:rPr>
        <w:t>Front end</w:t>
      </w:r>
    </w:p>
    <w:p>
      <w:pPr>
        <w:spacing w:after="120"/>
      </w:pPr>
      <w:r>
        <w:t>React 18 with TypeScript, built by Vite 6.3. Tailwind CSS 4 for styling, Recharts</w:t>
      </w:r>
    </w:p>
    <w:p>
      <w:pPr>
        <w:spacing w:after="120"/>
      </w:pPr>
      <w:r>
        <w:t>for the dashboard visualisations, Radix primitives underneath the component set</w:t>
      </w:r>
    </w:p>
    <w:p>
      <w:pPr>
        <w:spacing w:after="120"/>
      </w:pPr>
      <w:r>
        <w:t>inherited from the A3 Figma work.</w:t>
      </w:r>
    </w:p>
    <w:p>
      <w:pPr>
        <w:spacing w:after="120"/>
      </w:pPr>
      <w:r>
        <w:t xml:space="preserve">The SPA is a single bundle. </w:t>
      </w:r>
      <w:r>
        <w:rPr>
          <w:rFonts w:ascii="Courier New" w:hAnsi="Courier New"/>
          <w:color w:val="1B3A6B"/>
          <w:sz w:val="18"/>
        </w:rPr>
        <w:t>API_BASE</w:t>
      </w:r>
      <w:r>
        <w:t xml:space="preserve"> resolves to </w:t>
      </w:r>
      <w:r>
        <w:rPr>
          <w:rFonts w:ascii="Courier New" w:hAnsi="Courier New"/>
          <w:color w:val="1B3A6B"/>
          <w:sz w:val="18"/>
        </w:rPr>
        <w:t>import.meta.env.VITE_API_URL || ""</w:t>
      </w:r>
      <w:r>
        <w:t>,</w:t>
      </w:r>
    </w:p>
    <w:p>
      <w:pPr>
        <w:spacing w:after="120"/>
      </w:pPr>
      <w:r>
        <w:t>so in the deployed configuration the frontend calls the same origin it was served</w:t>
      </w:r>
    </w:p>
    <w:p>
      <w:pPr>
        <w:spacing w:after="120"/>
      </w:pPr>
      <w:r>
        <w:t>from and needs no build-time API URL.</w:t>
      </w:r>
    </w:p>
    <w:p>
      <w:pPr>
        <w:spacing w:after="120"/>
      </w:pPr>
      <w:r>
        <w:t xml:space="preserve">Live updates come over a WebSocket at </w:t>
      </w:r>
      <w:r>
        <w:rPr>
          <w:rFonts w:ascii="Courier New" w:hAnsi="Courier New"/>
          <w:color w:val="1B3A6B"/>
          <w:sz w:val="18"/>
        </w:rPr>
        <w:t>/api/v1/ws/live</w:t>
      </w:r>
      <w:r>
        <w:t xml:space="preserve"> rather than polling. The</w:t>
      </w:r>
    </w:p>
    <w:p>
      <w:pPr>
        <w:spacing w:after="120"/>
      </w:pPr>
      <w:r>
        <w:t xml:space="preserve">socket authenticates with </w:t>
      </w:r>
      <w:r>
        <w:rPr>
          <w:rFonts w:ascii="Courier New" w:hAnsi="Courier New"/>
          <w:color w:val="1B3A6B"/>
          <w:sz w:val="18"/>
        </w:rPr>
        <w:t>?token=&lt;jwt&gt;</w:t>
      </w:r>
      <w:r>
        <w:t>; an unauthenticated socket is rejected.</w:t>
      </w:r>
    </w:p>
    <w:p>
      <w:pPr>
        <w:spacing w:after="120"/>
      </w:pPr>
      <w:r>
        <w:t>Polling exists only as a fallback if the socket cannot connect.</w:t>
      </w:r>
    </w:p>
    <w:p>
      <w:pPr>
        <w:spacing w:before="280"/>
      </w:pPr>
      <w:r>
        <w:rPr>
          <w:b/>
          <w:color w:val="1B3A6B"/>
          <w:sz w:val="26"/>
        </w:rPr>
        <w:t>Back end</w:t>
      </w:r>
    </w:p>
    <w:p>
      <w:pPr>
        <w:spacing w:after="120"/>
      </w:pPr>
      <w:r>
        <w:t>FastAPI on Python 3.13, served by uvicorn. Fourteen routers mounted under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/api/v1</w:t>
      </w:r>
      <w:r>
        <w:t>: interception, audit, approval, policy, auth, stats, guardrails,</w:t>
      </w:r>
    </w:p>
    <w:p>
      <w:pPr>
        <w:spacing w:after="120"/>
      </w:pPr>
      <w:r>
        <w:t>websocket, agents, demo, reports, dryrun, trends and API keys.</w:t>
      </w:r>
    </w:p>
    <w:p>
      <w:pPr>
        <w:spacing w:after="120"/>
      </w:pPr>
      <w:r>
        <w:t>Two pieces of middleware sit in front of every request: CORS, and a rate limiter</w:t>
      </w:r>
    </w:p>
    <w:p>
      <w:pPr>
        <w:spacing w:after="120"/>
      </w:pPr>
      <w:r>
        <w:t>allowing 60 requests/minute generally and 10/minute on auth endpoints. Behind a</w:t>
      </w:r>
    </w:p>
    <w:p>
      <w:pPr>
        <w:spacing w:after="120"/>
      </w:pPr>
      <w:r>
        <w:t xml:space="preserve">reverse proxy the limiter keys off </w:t>
      </w:r>
      <w:r>
        <w:rPr>
          <w:rFonts w:ascii="Courier New" w:hAnsi="Courier New"/>
          <w:color w:val="1B3A6B"/>
          <w:sz w:val="18"/>
        </w:rPr>
        <w:t>X-Real-IP</w:t>
      </w:r>
      <w:r>
        <w:t>, because without it every client</w:t>
      </w:r>
    </w:p>
    <w:p>
      <w:pPr>
        <w:spacing w:after="120"/>
      </w:pPr>
      <w:r>
        <w:t>shares the proxy's bucket and one active dashboard locks everyone out.</w:t>
      </w:r>
    </w:p>
    <w:p>
      <w:pPr>
        <w:spacing w:after="120"/>
      </w:pPr>
      <w:r>
        <w:t xml:space="preserve">Static files are mounted last, at </w:t>
      </w:r>
      <w:r>
        <w:rPr>
          <w:rFonts w:ascii="Courier New" w:hAnsi="Courier New"/>
          <w:color w:val="1B3A6B"/>
          <w:sz w:val="18"/>
        </w:rPr>
        <w:t>/</w:t>
      </w:r>
      <w:r>
        <w:t xml:space="preserve">, so </w:t>
      </w:r>
      <w:r>
        <w:rPr>
          <w:rFonts w:ascii="Courier New" w:hAnsi="Courier New"/>
          <w:color w:val="1B3A6B"/>
          <w:sz w:val="18"/>
        </w:rPr>
        <w:t>/api/*</w:t>
      </w:r>
      <w:r>
        <w:t xml:space="preserve"> and </w:t>
      </w:r>
      <w:r>
        <w:rPr>
          <w:rFonts w:ascii="Courier New" w:hAnsi="Courier New"/>
          <w:color w:val="1B3A6B"/>
          <w:sz w:val="18"/>
        </w:rPr>
        <w:t>/health</w:t>
      </w:r>
      <w:r>
        <w:t xml:space="preserve"> keep winning</w:t>
      </w:r>
    </w:p>
    <w:p>
      <w:pPr>
        <w:spacing w:after="120"/>
      </w:pPr>
      <w:r>
        <w:t>against the SPA catch-all.</w:t>
      </w:r>
    </w:p>
    <w:p>
      <w:r>
        <w:rPr>
          <w:b/>
          <w:color w:val="1B3A6B"/>
          <w:sz w:val="22"/>
        </w:rPr>
        <w:t>The agent side</w:t>
      </w:r>
    </w:p>
    <w:p>
      <w:pPr>
        <w:spacing w:after="120"/>
      </w:pPr>
      <w:r>
        <w:t>Certacito governs an agent that lives outside this repository. That separation is</w:t>
      </w:r>
    </w:p>
    <w:p>
      <w:pPr>
        <w:spacing w:after="120"/>
      </w:pPr>
      <w:r>
        <w:t>the design, not an omission: the governance layer holds the policy, the audit</w:t>
      </w:r>
    </w:p>
    <w:p>
      <w:pPr>
        <w:spacing w:after="120"/>
      </w:pPr>
      <w:r>
        <w:t>chain and the human workflow, and stays independent of whichever agent framework</w:t>
      </w:r>
    </w:p>
    <w:p>
      <w:pPr>
        <w:spacing w:after="120"/>
      </w:pPr>
      <w:r>
        <w:t xml:space="preserve">is in front of it. Three callers exercise the same </w:t>
      </w:r>
      <w:r>
        <w:rPr>
          <w:rFonts w:ascii="Courier New" w:hAnsi="Courier New"/>
          <w:color w:val="1B3A6B"/>
          <w:sz w:val="18"/>
        </w:rPr>
        <w:t>/api/v1/intercept</w:t>
      </w:r>
      <w:r>
        <w:t xml:space="preserve">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CALLER</w:t>
            </w:r>
          </w:p>
        </w:tc>
        <w:tc>
          <w:tcPr>
            <w:tcW w:type="dxa" w:w="35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HOW IT INTEGRATES</w:t>
            </w:r>
          </w:p>
        </w:tc>
        <w:tc>
          <w:tcPr>
            <w:tcW w:type="dxa" w:w="35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WHERE</w:t>
            </w:r>
          </w:p>
        </w:tc>
      </w:tr>
      <w:tr>
        <w:tc>
          <w:tcPr>
            <w:tcW w:type="dxa" w:w="35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OpenClaw (</w:t>
            </w:r>
            <w:r>
              <w:rPr>
                <w:rFonts w:ascii="Courier New" w:hAnsi="Courier New"/>
                <w:color w:val="1B3A6B"/>
                <w:sz w:val="16"/>
              </w:rPr>
              <w:t>claude-cli</w:t>
            </w:r>
            <w:r>
              <w:rPr>
                <w:sz w:val="16"/>
              </w:rPr>
              <w:t xml:space="preserve"> runtime)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Shell wrappers per tool, plus an exec gate for arbitrary commands. Each POSTs to </w:t>
            </w:r>
            <w:r>
              <w:rPr>
                <w:rFonts w:ascii="Courier New" w:hAnsi="Courier New"/>
                <w:color w:val="1B3A6B"/>
                <w:sz w:val="16"/>
              </w:rPr>
              <w:t>/intercept</w:t>
            </w:r>
            <w:r>
              <w:rPr>
                <w:sz w:val="16"/>
              </w:rPr>
              <w:t xml:space="preserve"> and refuses to run unless the outcome is PERMIT.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Deployed alongside the agent, not in this repo</w:t>
            </w:r>
          </w:p>
        </w:tc>
      </w:tr>
      <w:tr>
        <w:tc>
          <w:tcPr>
            <w:tcW w:type="dxa" w:w="35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LangChain agents</w:t>
            </w:r>
          </w:p>
        </w:tc>
        <w:tc>
          <w:tcPr>
            <w:tcW w:type="dxa" w:w="35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CertacitoGovernanceHandler.check_tool_call()</w:t>
            </w:r>
            <w:r>
              <w:rPr>
                <w:sz w:val="16"/>
              </w:rPr>
              <w:t xml:space="preserve"> maps a tool call to an action type and returns a </w:t>
            </w:r>
            <w:r>
              <w:rPr>
                <w:rFonts w:ascii="Courier New" w:hAnsi="Courier New"/>
                <w:color w:val="1B3A6B"/>
                <w:sz w:val="16"/>
              </w:rPr>
              <w:t>GovernanceDecision</w:t>
            </w:r>
            <w:r>
              <w:rPr>
                <w:sz w:val="16"/>
              </w:rPr>
              <w:t>. Sync and async.</w:t>
            </w:r>
          </w:p>
        </w:tc>
        <w:tc>
          <w:tcPr>
            <w:tcW w:type="dxa" w:w="35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backend/agents/langchain_interceptor.py</w:t>
            </w:r>
          </w:p>
        </w:tc>
      </w:tr>
      <w:tr>
        <w:tc>
          <w:tcPr>
            <w:tcW w:type="dxa" w:w="35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Traffic simulator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Posts synthetic decisions under invented agent ids for demonstration.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backend/services/simulator.py</w:t>
            </w:r>
          </w:p>
        </w:tc>
      </w:tr>
    </w:tbl>
    <w:p/>
    <w:p>
      <w:pPr>
        <w:spacing w:after="120"/>
      </w:pPr>
      <w:r>
        <w:t>Two properties matter more than the integration mechanics:</w:t>
      </w:r>
    </w:p>
    <w:p>
      <w:pPr>
        <w:pStyle w:val="ListBullet"/>
        <w:spacing w:after="40"/>
      </w:pPr>
      <w:r>
        <w:rPr>
          <w:b/>
          <w:color w:val="1B3A6B"/>
        </w:rPr>
        <w:t>The agent cannot opt out.</w:t>
      </w:r>
      <w:r>
        <w:t xml:space="preserve"> The wrapper is the only path to the underlying</w:t>
      </w:r>
    </w:p>
    <w:p>
      <w:pPr>
        <w:spacing w:after="120"/>
      </w:pPr>
      <w:r>
        <w:t xml:space="preserve">  command, so bypassing governance means not running the tool at all.</w:t>
      </w:r>
    </w:p>
    <w:p>
      <w:pPr>
        <w:pStyle w:val="ListBullet"/>
        <w:spacing w:after="40"/>
      </w:pPr>
      <w:r>
        <w:rPr>
          <w:b/>
          <w:color w:val="1B3A6B"/>
        </w:rPr>
        <w:t>Unreachable means denied.</w:t>
      </w:r>
      <w:r>
        <w:t xml:space="preserve"> If the API cannot be reached, the wrapper and the</w:t>
      </w:r>
    </w:p>
    <w:p>
      <w:pPr>
        <w:spacing w:after="120"/>
      </w:pPr>
      <w:r>
        <w:t xml:space="preserve">  LangChain handler both return DENY (rule </w:t>
      </w:r>
      <w:r>
        <w:rPr>
          <w:rFonts w:ascii="Courier New" w:hAnsi="Courier New"/>
          <w:color w:val="1B3A6B"/>
          <w:sz w:val="18"/>
        </w:rPr>
        <w:t>FAILSAFE</w:t>
      </w:r>
      <w:r>
        <w:t>). Taking Certacito offline</w:t>
      </w:r>
    </w:p>
    <w:p>
      <w:pPr>
        <w:spacing w:after="120"/>
      </w:pPr>
      <w:r>
        <w:t xml:space="preserve">  stops the agent rather than freeing it, which is the opposite of how a</w:t>
      </w:r>
    </w:p>
    <w:p>
      <w:pPr>
        <w:spacing w:after="120"/>
      </w:pPr>
      <w:r>
        <w:t xml:space="preserve">  monitoring system behaves and is the point of the design.</w:t>
      </w:r>
    </w:p>
    <w:p>
      <w:pPr>
        <w:spacing w:after="120"/>
      </w:pPr>
      <w:r>
        <w:t xml:space="preserve">Agents authenticate with </w:t>
      </w:r>
      <w:r>
        <w:rPr>
          <w:rFonts w:ascii="Courier New" w:hAnsi="Courier New"/>
          <w:color w:val="1B3A6B"/>
          <w:sz w:val="18"/>
        </w:rPr>
        <w:t>X-API-Key</w:t>
      </w:r>
      <w:r>
        <w:t xml:space="preserve"> rather than a JWT, since there is no</w:t>
      </w:r>
    </w:p>
    <w:p>
      <w:pPr>
        <w:spacing w:after="120"/>
      </w:pPr>
      <w:r>
        <w:t>interactive login to perform. Unregistered agent ids are still evaluated and</w:t>
      </w:r>
    </w:p>
    <w:p>
      <w:pPr>
        <w:spacing w:after="120"/>
      </w:pPr>
      <w:r>
        <w:t>still audited; they simply do not appear in the registry.</w:t>
      </w:r>
    </w:p>
    <w:p>
      <w:r>
        <w:rPr>
          <w:b/>
          <w:color w:val="1B3A6B"/>
          <w:sz w:val="22"/>
        </w:rPr>
        <w:t>Interception path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POST /api/v1/intercept</w:t>
      </w:r>
      <w:r>
        <w:t xml:space="preserve"> is the core of the system. Order of operations:</w:t>
      </w:r>
    </w:p>
    <w:p>
      <w:pPr>
        <w:pStyle w:val="ListNumber"/>
        <w:spacing w:after="40"/>
      </w:pPr>
      <w:r>
        <w:rPr>
          <w:b/>
          <w:color w:val="1B3A6B"/>
        </w:rPr>
        <w:t>Semantic guardrail runs first.</w:t>
      </w:r>
      <w:r>
        <w:t xml:space="preserve"> Regex pattern sets for prompt injection,</w:t>
      </w:r>
    </w:p>
    <w:p>
      <w:pPr>
        <w:spacing w:after="120"/>
      </w:pPr>
      <w:r>
        <w:t xml:space="preserve">   jailbreak and exfiltration attempts, each carrying a hand-tuned confidence.</w:t>
      </w:r>
    </w:p>
    <w:p>
      <w:pPr>
        <w:spacing w:after="120"/>
      </w:pPr>
      <w:r>
        <w:t xml:space="preserve">   A proximity-based discount suppresses the common false positive where text</w:t>
      </w:r>
    </w:p>
    <w:p>
      <w:pPr>
        <w:spacing w:after="120"/>
      </w:pPr>
      <w:r>
        <w:t xml:space="preserve">   </w:t>
      </w:r>
      <w:r>
        <w:rPr>
          <w:i/>
        </w:rPr>
        <w:t>discusses</w:t>
      </w:r>
      <w:r>
        <w:t xml:space="preserve"> injection rather than attempting it. If the guard blocks it</w:t>
      </w:r>
    </w:p>
    <w:p>
      <w:pPr>
        <w:spacing w:after="120"/>
      </w:pPr>
      <w:r>
        <w:t xml:space="preserve">   short-circuits: outcome DENY, rule </w:t>
      </w:r>
      <w:r>
        <w:rPr>
          <w:rFonts w:ascii="Courier New" w:hAnsi="Courier New"/>
          <w:color w:val="1B3A6B"/>
          <w:sz w:val="18"/>
        </w:rPr>
        <w:t>SEMANTIC-GUARD</w:t>
      </w:r>
      <w:r>
        <w:t>, risk Critical, and it</w:t>
      </w:r>
    </w:p>
    <w:p>
      <w:pPr>
        <w:spacing w:after="120"/>
      </w:pPr>
      <w:r>
        <w:t xml:space="preserve">   still writes an audit entry. The policy engine never runs.</w:t>
      </w:r>
    </w:p>
    <w:p>
      <w:pPr>
        <w:pStyle w:val="ListNumber"/>
        <w:spacing w:after="40"/>
      </w:pPr>
      <w:r>
        <w:rPr>
          <w:b/>
          <w:color w:val="1B3A6B"/>
        </w:rPr>
        <w:t>Policy evaluation</w:t>
      </w:r>
      <w:r>
        <w:t>, wrapped in try/except. Any exception becomes DENY at</w:t>
      </w:r>
    </w:p>
    <w:p>
      <w:pPr>
        <w:spacing w:after="120"/>
      </w:pPr>
      <w:r>
        <w:t xml:space="preserve">   Critical risk.</w:t>
      </w:r>
    </w:p>
    <w:p>
      <w:pPr>
        <w:pStyle w:val="ListNumber"/>
        <w:spacing w:after="40"/>
      </w:pPr>
      <w:r>
        <w:rPr>
          <w:b/>
          <w:color w:val="1B3A6B"/>
        </w:rPr>
        <w:t>Approval item created</w:t>
      </w:r>
      <w:r>
        <w:t xml:space="preserve"> on ESCALATE only.</w:t>
      </w:r>
    </w:p>
    <w:p>
      <w:pPr>
        <w:pStyle w:val="ListNumber"/>
        <w:spacing w:after="40"/>
      </w:pPr>
      <w:r>
        <w:rPr>
          <w:b/>
          <w:color w:val="1B3A6B"/>
        </w:rPr>
        <w:t>Audit entry written for every outcome</w:t>
      </w:r>
      <w:r>
        <w:t>, PERMIT included. No path through</w:t>
      </w:r>
    </w:p>
    <w:p>
      <w:pPr>
        <w:spacing w:after="120"/>
      </w:pPr>
      <w:r>
        <w:t xml:space="preserve">   this endpoint skips the audit write.</w:t>
      </w:r>
    </w:p>
    <w:p>
      <w:pPr>
        <w:pStyle w:val="ListNumber"/>
        <w:spacing w:after="40"/>
      </w:pPr>
      <w:r>
        <w:rPr>
          <w:b/>
          <w:color w:val="1B3A6B"/>
        </w:rPr>
        <w:t>WebSocket broadcast</w:t>
      </w:r>
      <w:r>
        <w:t xml:space="preserve"> so connected dashboards update without polling.</w:t>
      </w:r>
    </w:p>
    <w:p>
      <w:r>
        <w:rPr>
          <w:b/>
          <w:color w:val="1B3A6B"/>
          <w:sz w:val="22"/>
        </w:rPr>
        <w:t>Fail-closed behaviour</w:t>
      </w:r>
    </w:p>
    <w:p>
      <w:pPr>
        <w:spacing w:after="120"/>
      </w:pPr>
      <w:r>
        <w:t>Four independent points, all real: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5328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No policy rule matches the action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DENY, risk Medium, "denied by default"</w:t>
            </w:r>
          </w:p>
        </w:tc>
      </w:tr>
      <w:tr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Policy engine raises</w:t>
            </w:r>
          </w:p>
        </w:tc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DENY, risk Critical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Policy YAML missing at startup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rules stay empty, so everything hits the no-match DENY</w:t>
            </w:r>
          </w:p>
        </w:tc>
      </w:tr>
      <w:tr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No valid API key or JWT</w:t>
            </w:r>
          </w:p>
        </w:tc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401, request never reaches policy</w:t>
            </w:r>
          </w:p>
        </w:tc>
      </w:tr>
    </w:tbl>
    <w:p/>
    <w:p>
      <w:pPr>
        <w:spacing w:after="120"/>
      </w:pPr>
      <w:r>
        <w:t>The system defaults to refusing rather than allowing.</w:t>
      </w:r>
    </w:p>
    <w:p>
      <w:r>
        <w:rPr>
          <w:b/>
          <w:color w:val="1B3A6B"/>
          <w:sz w:val="22"/>
        </w:rPr>
        <w:t>Policy engine</w:t>
      </w:r>
    </w:p>
    <w:p>
      <w:pPr>
        <w:spacing w:after="120"/>
      </w:pPr>
      <w:r>
        <w:t xml:space="preserve">Rules load from </w:t>
      </w:r>
      <w:r>
        <w:rPr>
          <w:rFonts w:ascii="Courier New" w:hAnsi="Courier New"/>
          <w:color w:val="1B3A6B"/>
          <w:sz w:val="18"/>
        </w:rPr>
        <w:t>backend/policies.yaml</w:t>
      </w:r>
      <w:r>
        <w:t xml:space="preserve"> (12 rules) via the </w:t>
      </w:r>
      <w:r>
        <w:rPr>
          <w:rFonts w:ascii="Courier New" w:hAnsi="Courier New"/>
          <w:color w:val="1B3A6B"/>
          <w:sz w:val="18"/>
        </w:rPr>
        <w:t>POLICY_CONFIG</w:t>
      </w:r>
      <w:r>
        <w:t xml:space="preserve"> setting.</w:t>
      </w:r>
    </w:p>
    <w:p>
      <w:pPr>
        <w:spacing w:after="120"/>
      </w:pPr>
      <w:r>
        <w:t xml:space="preserve">A further 10 pre-built rules ship in </w:t>
      </w:r>
      <w:r>
        <w:rPr>
          <w:rFonts w:ascii="Courier New" w:hAnsi="Courier New"/>
          <w:color w:val="1B3A6B"/>
          <w:sz w:val="18"/>
        </w:rPr>
        <w:t>rule_library.yaml</w:t>
      </w:r>
      <w:r>
        <w:t xml:space="preserve"> and can be imported into</w:t>
      </w:r>
    </w:p>
    <w:p>
      <w:pPr>
        <w:spacing w:after="120"/>
      </w:pPr>
      <w:r>
        <w:t>the database through the API, which is what populates the Policy Rules screen.</w:t>
      </w:r>
    </w:p>
    <w:p>
      <w:pPr>
        <w:spacing w:after="120"/>
      </w:pPr>
      <w:r>
        <w:t xml:space="preserve">Conditions are parsed, not keyword-matched. The parser handles </w:t>
      </w:r>
      <w:r>
        <w:rPr>
          <w:rFonts w:ascii="Courier New" w:hAnsi="Courier New"/>
          <w:color w:val="1B3A6B"/>
          <w:sz w:val="18"/>
        </w:rPr>
        <w:t>==</w:t>
      </w:r>
      <w:r>
        <w:t xml:space="preserve">, </w:t>
      </w:r>
      <w:r>
        <w:rPr>
          <w:rFonts w:ascii="Courier New" w:hAnsi="Courier New"/>
          <w:color w:val="1B3A6B"/>
          <w:sz w:val="18"/>
        </w:rPr>
        <w:t>!=</w:t>
      </w:r>
      <w:r>
        <w:t xml:space="preserve">, </w:t>
      </w:r>
      <w:r>
        <w:rPr>
          <w:rFonts w:ascii="Courier New" w:hAnsi="Courier New"/>
          <w:color w:val="1B3A6B"/>
          <w:sz w:val="18"/>
        </w:rPr>
        <w:t>&gt;</w:t>
      </w:r>
      <w:r>
        <w:t>,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IN</w:t>
      </w:r>
      <w:r>
        <w:t xml:space="preserve">, </w:t>
      </w:r>
      <w:r>
        <w:rPr>
          <w:rFonts w:ascii="Courier New" w:hAnsi="Courier New"/>
          <w:color w:val="1B3A6B"/>
          <w:sz w:val="18"/>
        </w:rPr>
        <w:t>NOT IN</w:t>
      </w:r>
      <w:r>
        <w:t xml:space="preserve">, </w:t>
      </w:r>
      <w:r>
        <w:rPr>
          <w:rFonts w:ascii="Courier New" w:hAnsi="Courier New"/>
          <w:color w:val="1B3A6B"/>
          <w:sz w:val="18"/>
        </w:rPr>
        <w:t>MATCHES</w:t>
      </w:r>
      <w:r>
        <w:t xml:space="preserve">, </w:t>
      </w:r>
      <w:r>
        <w:rPr>
          <w:rFonts w:ascii="Courier New" w:hAnsi="Courier New"/>
          <w:color w:val="1B3A6B"/>
          <w:sz w:val="18"/>
        </w:rPr>
        <w:t>NOT MATCHES</w:t>
      </w:r>
      <w:r>
        <w:t xml:space="preserve"> and </w:t>
      </w:r>
      <w:r>
        <w:rPr>
          <w:rFonts w:ascii="Courier New" w:hAnsi="Courier New"/>
          <w:color w:val="1B3A6B"/>
          <w:sz w:val="18"/>
        </w:rPr>
        <w:t>AND</w:t>
      </w:r>
      <w:r>
        <w:t>, resolved against named sets</w:t>
      </w:r>
    </w:p>
    <w:p>
      <w:pPr>
        <w:spacing w:after="120"/>
      </w:pPr>
      <w:r>
        <w:t>(</w:t>
      </w:r>
      <w:r>
        <w:rPr>
          <w:rFonts w:ascii="Courier New" w:hAnsi="Courier New"/>
          <w:color w:val="1B3A6B"/>
          <w:sz w:val="18"/>
        </w:rPr>
        <w:t>approved_tools</w:t>
      </w:r>
      <w:r>
        <w:t xml:space="preserve">, </w:t>
      </w:r>
      <w:r>
        <w:rPr>
          <w:rFonts w:ascii="Courier New" w:hAnsi="Courier New"/>
          <w:color w:val="1B3A6B"/>
          <w:sz w:val="18"/>
        </w:rPr>
        <w:t>approved_vendors</w:t>
      </w:r>
      <w:r>
        <w:t xml:space="preserve">, </w:t>
      </w:r>
      <w:r>
        <w:rPr>
          <w:rFonts w:ascii="Courier New" w:hAnsi="Courier New"/>
          <w:color w:val="1B3A6B"/>
          <w:sz w:val="18"/>
        </w:rPr>
        <w:t>approved_domains</w:t>
      </w:r>
      <w:r>
        <w:t xml:space="preserve">, </w:t>
      </w:r>
      <w:r>
        <w:rPr>
          <w:rFonts w:ascii="Courier New" w:hAnsi="Courier New"/>
          <w:color w:val="1B3A6B"/>
          <w:sz w:val="18"/>
        </w:rPr>
        <w:t>restricted_tables</w:t>
      </w:r>
      <w:r>
        <w:t>,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restricted_datasets</w:t>
      </w:r>
      <w:r>
        <w:t>) defined in the same file.</w:t>
      </w:r>
    </w:p>
    <w:p>
      <w:pPr>
        <w:spacing w:after="120"/>
      </w:pPr>
      <w:r>
        <w:t xml:space="preserve">Where a condition cannot be resolved the rule </w:t>
      </w:r>
      <w:r>
        <w:rPr>
          <w:b/>
          <w:color w:val="1B3A6B"/>
        </w:rPr>
        <w:t>does not match</w:t>
      </w:r>
      <w:r>
        <w:t>, and the request</w:t>
      </w:r>
    </w:p>
    <w:p>
      <w:pPr>
        <w:spacing w:after="120"/>
      </w:pPr>
      <w:r>
        <w:t>falls through to the default deny. That direction is deliberate: unresolvable</w:t>
      </w:r>
    </w:p>
    <w:p>
      <w:pPr>
        <w:spacing w:after="120"/>
      </w:pPr>
      <w:r>
        <w:t xml:space="preserve">conditions were previously treated as satisfied, which on a </w:t>
      </w:r>
      <w:r>
        <w:rPr>
          <w:i/>
        </w:rPr>
        <w:t>permit</w:t>
      </w:r>
      <w:r>
        <w:t xml:space="preserve"> rule meant</w:t>
      </w:r>
    </w:p>
    <w:p>
      <w:pPr>
        <w:spacing w:after="120"/>
      </w:pPr>
      <w:r>
        <w:t>allowing exactly the thing the rule existed to gate.</w:t>
      </w:r>
    </w:p>
    <w:p>
      <w:pPr>
        <w:spacing w:after="120"/>
      </w:pPr>
      <w:r>
        <w:t xml:space="preserve">The grammar covers </w:t>
      </w:r>
      <w:r>
        <w:rPr>
          <w:rFonts w:ascii="Courier New" w:hAnsi="Courier New"/>
          <w:color w:val="1B3A6B"/>
          <w:sz w:val="18"/>
        </w:rPr>
        <w:t>==</w:t>
      </w:r>
      <w:r>
        <w:t xml:space="preserve">, </w:t>
      </w:r>
      <w:r>
        <w:rPr>
          <w:rFonts w:ascii="Courier New" w:hAnsi="Courier New"/>
          <w:color w:val="1B3A6B"/>
          <w:sz w:val="18"/>
        </w:rPr>
        <w:t>!=</w:t>
      </w:r>
      <w:r>
        <w:t xml:space="preserve">, </w:t>
      </w:r>
      <w:r>
        <w:rPr>
          <w:rFonts w:ascii="Courier New" w:hAnsi="Courier New"/>
          <w:color w:val="1B3A6B"/>
          <w:sz w:val="18"/>
        </w:rPr>
        <w:t>&gt;</w:t>
      </w:r>
      <w:r>
        <w:t xml:space="preserve">, </w:t>
      </w:r>
      <w:r>
        <w:rPr>
          <w:rFonts w:ascii="Courier New" w:hAnsi="Courier New"/>
          <w:color w:val="1B3A6B"/>
          <w:sz w:val="18"/>
        </w:rPr>
        <w:t>&lt;</w:t>
      </w:r>
      <w:r>
        <w:t xml:space="preserve">, </w:t>
      </w:r>
      <w:r>
        <w:rPr>
          <w:rFonts w:ascii="Courier New" w:hAnsi="Courier New"/>
          <w:color w:val="1B3A6B"/>
          <w:sz w:val="18"/>
        </w:rPr>
        <w:t>&gt;=</w:t>
      </w:r>
      <w:r>
        <w:t xml:space="preserve">, </w:t>
      </w:r>
      <w:r>
        <w:rPr>
          <w:rFonts w:ascii="Courier New" w:hAnsi="Courier New"/>
          <w:color w:val="1B3A6B"/>
          <w:sz w:val="18"/>
        </w:rPr>
        <w:t>&lt;=</w:t>
      </w:r>
      <w:r>
        <w:t xml:space="preserve">, </w:t>
      </w:r>
      <w:r>
        <w:rPr>
          <w:rFonts w:ascii="Courier New" w:hAnsi="Courier New"/>
          <w:color w:val="1B3A6B"/>
          <w:sz w:val="18"/>
        </w:rPr>
        <w:t>IN</w:t>
      </w:r>
      <w:r>
        <w:t xml:space="preserve">, </w:t>
      </w:r>
      <w:r>
        <w:rPr>
          <w:rFonts w:ascii="Courier New" w:hAnsi="Courier New"/>
          <w:color w:val="1B3A6B"/>
          <w:sz w:val="18"/>
        </w:rPr>
        <w:t>NOT IN</w:t>
      </w:r>
      <w:r>
        <w:t xml:space="preserve">, </w:t>
      </w:r>
      <w:r>
        <w:rPr>
          <w:rFonts w:ascii="Courier New" w:hAnsi="Courier New"/>
          <w:color w:val="1B3A6B"/>
          <w:sz w:val="18"/>
        </w:rPr>
        <w:t>CONTAINS</w:t>
      </w:r>
      <w:r>
        <w:t>,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NOT CONTAINS</w:t>
      </w:r>
      <w:r>
        <w:t xml:space="preserve">, </w:t>
      </w:r>
      <w:r>
        <w:rPr>
          <w:rFonts w:ascii="Courier New" w:hAnsi="Courier New"/>
          <w:color w:val="1B3A6B"/>
          <w:sz w:val="18"/>
        </w:rPr>
        <w:t>MATCHES</w:t>
      </w:r>
      <w:r>
        <w:t xml:space="preserve">, </w:t>
      </w:r>
      <w:r>
        <w:rPr>
          <w:rFonts w:ascii="Courier New" w:hAnsi="Courier New"/>
          <w:color w:val="1B3A6B"/>
          <w:sz w:val="18"/>
        </w:rPr>
        <w:t>NOT MATCHES</w:t>
      </w:r>
      <w:r>
        <w:t xml:space="preserve">, </w:t>
      </w:r>
      <w:r>
        <w:rPr>
          <w:rFonts w:ascii="Courier New" w:hAnsi="Courier New"/>
          <w:color w:val="1B3A6B"/>
          <w:sz w:val="18"/>
        </w:rPr>
        <w:t>AND</w:t>
      </w:r>
      <w:r>
        <w:t xml:space="preserve">, </w:t>
      </w:r>
      <w:r>
        <w:rPr>
          <w:rFonts w:ascii="Courier New" w:hAnsi="Courier New"/>
          <w:color w:val="1B3A6B"/>
          <w:sz w:val="18"/>
        </w:rPr>
        <w:t>OR</w:t>
      </w:r>
      <w:r>
        <w:t xml:space="preserve">, </w:t>
      </w:r>
      <w:r>
        <w:rPr>
          <w:rFonts w:ascii="Courier New" w:hAnsi="Courier New"/>
          <w:color w:val="1B3A6B"/>
          <w:sz w:val="18"/>
        </w:rPr>
        <w:t>NOT</w:t>
      </w:r>
      <w:r>
        <w:t xml:space="preserve"> and parentheses.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OR</w:t>
      </w:r>
      <w:r>
        <w:t xml:space="preserve"> was genuinely missing at one point and this document said so; the</w:t>
      </w:r>
    </w:p>
    <w:p>
      <w:pPr>
        <w:spacing w:after="120"/>
      </w:pPr>
      <w:r>
        <w:t xml:space="preserve">recursive-descent parser in </w:t>
      </w:r>
      <w:r>
        <w:rPr>
          <w:rFonts w:ascii="Courier New" w:hAnsi="Courier New"/>
          <w:color w:val="1B3A6B"/>
          <w:sz w:val="18"/>
        </w:rPr>
        <w:t>backend/services/condition_parser.py</w:t>
      </w:r>
      <w:r>
        <w:t xml:space="preserve"> supports it,</w:t>
      </w:r>
    </w:p>
    <w:p>
      <w:pPr>
        <w:spacing w:after="120"/>
      </w:pPr>
      <w:r>
        <w:t xml:space="preserve">verified by the cases in </w:t>
      </w:r>
      <w:r>
        <w:rPr>
          <w:rFonts w:ascii="Courier New" w:hAnsi="Courier New"/>
          <w:color w:val="1B3A6B"/>
          <w:sz w:val="18"/>
        </w:rPr>
        <w:t>tests/backend/test_condition_parser.py</w:t>
      </w:r>
      <w:r>
        <w:t>.</w:t>
      </w:r>
    </w:p>
    <w:p>
      <w:r>
        <w:rPr>
          <w:b/>
          <w:color w:val="1B3A6B"/>
          <w:sz w:val="22"/>
        </w:rPr>
        <w:t>Audit chain</w:t>
      </w:r>
    </w:p>
    <w:p>
      <w:pPr>
        <w:spacing w:after="120"/>
      </w:pPr>
      <w:r>
        <w:t>Append-only and hash-chained. Each entry's hash is SHA-256 over a preimage built</w:t>
      </w:r>
    </w:p>
    <w:p>
      <w:pPr>
        <w:spacing w:after="120"/>
      </w:pPr>
      <w:r>
        <w:t xml:space="preserve">from every stored column: </w:t>
      </w:r>
      <w:r>
        <w:rPr>
          <w:rFonts w:ascii="Courier New" w:hAnsi="Courier New"/>
          <w:color w:val="1B3A6B"/>
          <w:sz w:val="18"/>
        </w:rPr>
        <w:t>entry_id</w:t>
      </w:r>
      <w:r>
        <w:t xml:space="preserve">, </w:t>
      </w:r>
      <w:r>
        <w:rPr>
          <w:rFonts w:ascii="Courier New" w:hAnsi="Courier New"/>
          <w:color w:val="1B3A6B"/>
          <w:sz w:val="18"/>
        </w:rPr>
        <w:t>timestamp</w:t>
      </w:r>
      <w:r>
        <w:t xml:space="preserve">, </w:t>
      </w:r>
      <w:r>
        <w:rPr>
          <w:rFonts w:ascii="Courier New" w:hAnsi="Courier New"/>
          <w:color w:val="1B3A6B"/>
          <w:sz w:val="18"/>
        </w:rPr>
        <w:t>agent_id</w:t>
      </w:r>
      <w:r>
        <w:t xml:space="preserve">, </w:t>
      </w:r>
      <w:r>
        <w:rPr>
          <w:rFonts w:ascii="Courier New" w:hAnsi="Courier New"/>
          <w:color w:val="1B3A6B"/>
          <w:sz w:val="18"/>
        </w:rPr>
        <w:t>action_type</w:t>
      </w:r>
      <w:r>
        <w:t>,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outcome</w:t>
      </w:r>
      <w:r>
        <w:t xml:space="preserve">, </w:t>
      </w:r>
      <w:r>
        <w:rPr>
          <w:rFonts w:ascii="Courier New" w:hAnsi="Courier New"/>
          <w:color w:val="1B3A6B"/>
          <w:sz w:val="18"/>
        </w:rPr>
        <w:t>risk_level</w:t>
      </w:r>
      <w:r>
        <w:t xml:space="preserve">, </w:t>
      </w:r>
      <w:r>
        <w:rPr>
          <w:rFonts w:ascii="Courier New" w:hAnsi="Courier New"/>
          <w:color w:val="1B3A6B"/>
          <w:sz w:val="18"/>
        </w:rPr>
        <w:t>policy_rule</w:t>
      </w:r>
      <w:r>
        <w:t xml:space="preserve">, </w:t>
      </w:r>
      <w:r>
        <w:rPr>
          <w:rFonts w:ascii="Courier New" w:hAnsi="Courier New"/>
          <w:color w:val="1B3A6B"/>
          <w:sz w:val="18"/>
        </w:rPr>
        <w:t>policy_desc</w:t>
      </w:r>
      <w:r>
        <w:t xml:space="preserve">, </w:t>
      </w:r>
      <w:r>
        <w:rPr>
          <w:rFonts w:ascii="Courier New" w:hAnsi="Courier New"/>
          <w:color w:val="1B3A6B"/>
          <w:sz w:val="18"/>
        </w:rPr>
        <w:t>session_id</w:t>
      </w:r>
      <w:r>
        <w:t>,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payload_masked</w:t>
      </w:r>
      <w:r>
        <w:t xml:space="preserve">, a </w:t>
      </w:r>
      <w:r>
        <w:rPr>
          <w:rFonts w:ascii="Courier New" w:hAnsi="Courier New"/>
          <w:color w:val="1B3A6B"/>
          <w:sz w:val="18"/>
        </w:rPr>
        <w:t>payload_hash</w:t>
      </w:r>
      <w:r>
        <w:t>, and the previous entry's hash. The preimage is</w:t>
      </w:r>
    </w:p>
    <w:p>
      <w:pPr>
        <w:spacing w:after="120"/>
      </w:pPr>
      <w:r>
        <w:t>sorted JSON rather than concatenated strings, so two different entries cannot</w:t>
      </w:r>
    </w:p>
    <w:p>
      <w:pPr>
        <w:spacing w:after="120"/>
      </w:pPr>
      <w:r>
        <w:t>produce the same one by shifting where a field ends. The chain starts from a fixed</w:t>
      </w:r>
    </w:p>
    <w:p>
      <w:pPr>
        <w:spacing w:after="120"/>
      </w:pPr>
      <w:r>
        <w:t>genesis hash.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payload_hash</w:t>
      </w:r>
      <w:r>
        <w:t xml:space="preserve"> is taken over the </w:t>
      </w:r>
      <w:r>
        <w:rPr>
          <w:b/>
          <w:color w:val="1B3A6B"/>
        </w:rPr>
        <w:t>raw</w:t>
      </w:r>
      <w:r>
        <w:t xml:space="preserve"> payload, before masking. That is</w:t>
      </w:r>
    </w:p>
    <w:p>
      <w:pPr>
        <w:spacing w:after="120"/>
      </w:pPr>
      <w:r>
        <w:t>deliberate - the integrity check then covers what the agent actually sent, not the</w:t>
      </w:r>
    </w:p>
    <w:p>
      <w:pPr>
        <w:spacing w:after="120"/>
      </w:pPr>
      <w:r>
        <w:t>redacted copy we display. The masked copy is covered separately as its own field.</w:t>
      </w:r>
    </w:p>
    <w:p>
      <w:pPr>
        <w:spacing w:after="120"/>
      </w:pPr>
      <w:r>
        <w:t>Covering every column matters. The hash previously covered 7 of the 12 stored</w:t>
      </w:r>
    </w:p>
    <w:p>
      <w:pPr>
        <w:spacing w:after="120"/>
      </w:pPr>
      <w:r>
        <w:t xml:space="preserve">fields, so </w:t>
      </w:r>
      <w:r>
        <w:rPr>
          <w:rFonts w:ascii="Courier New" w:hAnsi="Courier New"/>
          <w:color w:val="1B3A6B"/>
          <w:sz w:val="18"/>
        </w:rPr>
        <w:t>risk_level</w:t>
      </w:r>
      <w:r>
        <w:t xml:space="preserve"> or the masked payload could be rewritten without breaking</w:t>
      </w:r>
    </w:p>
    <w:p>
      <w:pPr>
        <w:spacing w:after="120"/>
      </w:pPr>
      <w:r>
        <w:t>the chain: a Critical could be dropped to Low and verification still reported</w:t>
      </w:r>
    </w:p>
    <w:p>
      <w:pPr>
        <w:spacing w:after="120"/>
      </w:pPr>
      <w:r>
        <w:t xml:space="preserve">valid. </w:t>
      </w:r>
      <w:r>
        <w:rPr>
          <w:rFonts w:ascii="Courier New" w:hAnsi="Courier New"/>
          <w:color w:val="1B3A6B"/>
          <w:sz w:val="18"/>
        </w:rPr>
        <w:t>GET /api/v1/audit/verify</w:t>
      </w:r>
      <w:r>
        <w:t xml:space="preserve"> now walks from genesis and recomputes each hash</w:t>
      </w:r>
    </w:p>
    <w:p>
      <w:pPr>
        <w:spacing w:after="120"/>
      </w:pPr>
      <w:r>
        <w:t>rather than only comparing stored hashes to one another.</w:t>
      </w:r>
    </w:p>
    <w:p>
      <w:pPr>
        <w:spacing w:after="120"/>
      </w:pPr>
      <w:r>
        <w:t xml:space="preserve">Appends are serialised behind an </w:t>
      </w:r>
      <w:r>
        <w:rPr>
          <w:rFonts w:ascii="Courier New" w:hAnsi="Courier New"/>
          <w:color w:val="1B3A6B"/>
          <w:sz w:val="18"/>
        </w:rPr>
        <w:t>asyncio.Lock</w:t>
      </w:r>
      <w:r>
        <w:t>. This is not incidental: two</w:t>
      </w:r>
    </w:p>
    <w:p>
      <w:pPr>
        <w:spacing w:after="120"/>
      </w:pPr>
      <w:r>
        <w:t>concurrent intercepts could previously both read the same chain head and both</w:t>
      </w:r>
    </w:p>
    <w:p>
      <w:pPr>
        <w:spacing w:after="120"/>
      </w:pPr>
      <w:r>
        <w:t xml:space="preserve">append to it, forking the log. </w:t>
      </w:r>
      <w:r>
        <w:rPr>
          <w:rFonts w:ascii="Courier New" w:hAnsi="Courier New"/>
          <w:color w:val="1B3A6B"/>
          <w:sz w:val="18"/>
        </w:rPr>
        <w:t>GET /api/v1/audit/verify</w:t>
      </w:r>
      <w:r>
        <w:t xml:space="preserve"> re-walks the chain</w:t>
      </w:r>
    </w:p>
    <w:p>
      <w:pPr>
        <w:spacing w:after="120"/>
      </w:pPr>
      <w:r>
        <w:t>server-side and recomputes every hash.</w:t>
      </w:r>
    </w:p>
    <w:p>
      <w:pPr>
        <w:spacing w:after="120"/>
      </w:pPr>
      <w:r>
        <w:t xml:space="preserve">The guarantee is </w:t>
      </w:r>
      <w:r>
        <w:rPr>
          <w:b/>
          <w:color w:val="1B3A6B"/>
        </w:rPr>
        <w:t>tamper-evident, not tamper-proof.</w:t>
      </w:r>
      <w:r>
        <w:t xml:space="preserve"> Anyone with database access</w:t>
      </w:r>
    </w:p>
    <w:p>
      <w:pPr>
        <w:spacing w:after="120"/>
      </w:pPr>
      <w:r>
        <w:t>can still delete rows. What they cannot do is delete them without breaking the</w:t>
      </w:r>
    </w:p>
    <w:p>
      <w:pPr>
        <w:spacing w:after="120"/>
      </w:pPr>
      <w:r>
        <w:t>chain, and verification surfaces that. Append-only is enforced at application</w:t>
      </w:r>
    </w:p>
    <w:p>
      <w:pPr>
        <w:spacing w:after="120"/>
      </w:pPr>
      <w:r>
        <w:t>level; there is no database trigger.</w:t>
      </w:r>
    </w:p>
    <w:p>
      <w:r>
        <w:rPr>
          <w:b/>
          <w:color w:val="1B3A6B"/>
          <w:sz w:val="22"/>
        </w:rPr>
        <w:t>Authentication and access control</w:t>
      </w:r>
    </w:p>
    <w:p>
      <w:pPr>
        <w:spacing w:after="120"/>
      </w:pPr>
      <w:r>
        <w:t xml:space="preserve">JWT bearer tokens for users, bcrypt for password hashing. </w:t>
      </w:r>
      <w:r>
        <w:rPr>
          <w:rFonts w:ascii="Courier New" w:hAnsi="Courier New"/>
          <w:color w:val="1B3A6B"/>
          <w:sz w:val="18"/>
        </w:rPr>
        <w:t>auth.py</w:t>
      </w:r>
      <w:r>
        <w:t xml:space="preserve"> calls bcrypt</w:t>
      </w:r>
    </w:p>
    <w:p>
      <w:pPr>
        <w:spacing w:after="120"/>
      </w:pPr>
      <w:r>
        <w:t>directly and truncates to 72 bytes itself. That used to go through passlib, which</w:t>
      </w:r>
    </w:p>
    <w:p>
      <w:pPr>
        <w:spacing w:after="120"/>
      </w:pPr>
      <w:r>
        <w:t>probes its backend with an over-length string on import - bcrypt 4.1+ raises on</w:t>
      </w:r>
    </w:p>
    <w:p>
      <w:pPr>
        <w:spacing w:after="120"/>
      </w:pPr>
      <w:r>
        <w:t>that rather than truncating, so it broke every login on a clean install and was</w:t>
      </w:r>
    </w:p>
    <w:p>
      <w:pPr>
        <w:spacing w:after="120"/>
      </w:pPr>
      <w:r>
        <w:t xml:space="preserve">worked around by pinning </w:t>
      </w:r>
      <w:r>
        <w:rPr>
          <w:rFonts w:ascii="Courier New" w:hAnsi="Courier New"/>
          <w:color w:val="1B3A6B"/>
          <w:sz w:val="18"/>
        </w:rPr>
        <w:t>bcrypt==4.0.1</w:t>
      </w:r>
      <w:r>
        <w:t>. Dropping passlib removed the pin along</w:t>
      </w:r>
    </w:p>
    <w:p>
      <w:pPr>
        <w:spacing w:after="120"/>
      </w:pPr>
      <w:r>
        <w:t>with the stale-pin problem; the hash format is unchanged, so existing rows verify.</w:t>
      </w:r>
    </w:p>
    <w:p>
      <w:pPr>
        <w:spacing w:after="120"/>
      </w:pPr>
      <w:r>
        <w:t>Three roles: Administrator, Analyst, Viewer. Every endpoint carries an auth</w:t>
      </w:r>
    </w:p>
    <w:p>
      <w:pPr>
        <w:spacing w:after="120"/>
      </w:pPr>
      <w:r>
        <w:t xml:space="preserve">dependency; the role constants live in </w:t>
      </w:r>
      <w:r>
        <w:rPr>
          <w:rFonts w:ascii="Courier New" w:hAnsi="Courier New"/>
          <w:color w:val="1B3A6B"/>
          <w:sz w:val="18"/>
        </w:rPr>
        <w:t>backend/api/auth.py</w:t>
      </w:r>
      <w:r>
        <w:t>. Agent-facing</w:t>
      </w:r>
    </w:p>
    <w:p>
      <w:pPr>
        <w:spacing w:after="120"/>
      </w:pPr>
      <w:r>
        <w:t xml:space="preserve">endpoints accept either an </w:t>
      </w:r>
      <w:r>
        <w:rPr>
          <w:rFonts w:ascii="Courier New" w:hAnsi="Courier New"/>
          <w:color w:val="1B3A6B"/>
          <w:sz w:val="18"/>
        </w:rPr>
        <w:t>X-API-Key</w:t>
      </w:r>
      <w:r>
        <w:t xml:space="preserve"> or a JWT via the </w:t>
      </w:r>
      <w:r>
        <w:rPr>
          <w:rFonts w:ascii="Courier New" w:hAnsi="Courier New"/>
          <w:color w:val="1B3A6B"/>
          <w:sz w:val="18"/>
        </w:rPr>
        <w:t>agent_or_user</w:t>
      </w:r>
      <w:r>
        <w:t xml:space="preserve"> dependency,</w:t>
      </w:r>
    </w:p>
    <w:p>
      <w:pPr>
        <w:spacing w:after="120"/>
      </w:pPr>
      <w:r>
        <w:t>because agents cannot perform the login flow.</w:t>
      </w:r>
    </w:p>
    <w:p>
      <w:pPr>
        <w:spacing w:after="120"/>
      </w:pPr>
      <w:r>
        <w:t>Payloads are masked before storage. Masking covers top-level keys only, which is</w:t>
      </w:r>
    </w:p>
    <w:p>
      <w:pPr>
        <w:spacing w:after="120"/>
      </w:pPr>
      <w:r>
        <w:t>recorded as a limitation.</w:t>
      </w:r>
    </w:p>
    <w:p>
      <w:pPr>
        <w:spacing w:before="280"/>
      </w:pPr>
      <w:r>
        <w:rPr>
          <w:b/>
          <w:color w:val="1B3A6B"/>
          <w:sz w:val="26"/>
        </w:rPr>
        <w:t>Data model</w:t>
      </w:r>
    </w:p>
    <w:p>
      <w:pPr>
        <w:spacing w:after="120"/>
      </w:pPr>
      <w:r>
        <w:t>PostgreSQL 16, accessed asynchronously through SQLAlchemy 2.0 with asyncpg.</w:t>
      </w:r>
    </w:p>
    <w:p>
      <w:pPr>
        <w:spacing w:after="120"/>
      </w:pPr>
      <w:r>
        <w:t xml:space="preserve">Eight tables: </w:t>
      </w:r>
      <w:r>
        <w:rPr>
          <w:rFonts w:ascii="Courier New" w:hAnsi="Courier New"/>
          <w:color w:val="1B3A6B"/>
          <w:sz w:val="18"/>
        </w:rPr>
        <w:t>audit_log</w:t>
      </w:r>
      <w:r>
        <w:t xml:space="preserve">, </w:t>
      </w:r>
      <w:r>
        <w:rPr>
          <w:rFonts w:ascii="Courier New" w:hAnsi="Courier New"/>
          <w:color w:val="1B3A6B"/>
          <w:sz w:val="18"/>
        </w:rPr>
        <w:t>approval_queue</w:t>
      </w:r>
      <w:r>
        <w:t xml:space="preserve">, </w:t>
      </w:r>
      <w:r>
        <w:rPr>
          <w:rFonts w:ascii="Courier New" w:hAnsi="Courier New"/>
          <w:color w:val="1B3A6B"/>
          <w:sz w:val="18"/>
        </w:rPr>
        <w:t>policy_rules</w:t>
      </w:r>
      <w:r>
        <w:t xml:space="preserve">, </w:t>
      </w:r>
      <w:r>
        <w:rPr>
          <w:rFonts w:ascii="Courier New" w:hAnsi="Courier New"/>
          <w:color w:val="1B3A6B"/>
          <w:sz w:val="18"/>
        </w:rPr>
        <w:t>users</w:t>
      </w:r>
      <w:r>
        <w:t xml:space="preserve">, </w:t>
      </w:r>
      <w:r>
        <w:rPr>
          <w:rFonts w:ascii="Courier New" w:hAnsi="Courier New"/>
          <w:color w:val="1B3A6B"/>
          <w:sz w:val="18"/>
        </w:rPr>
        <w:t>agents</w:t>
      </w:r>
      <w:r>
        <w:t>,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api_keys</w:t>
      </w:r>
      <w:r>
        <w:t xml:space="preserve">, </w:t>
      </w:r>
      <w:r>
        <w:rPr>
          <w:rFonts w:ascii="Courier New" w:hAnsi="Courier New"/>
          <w:color w:val="1B3A6B"/>
          <w:sz w:val="18"/>
        </w:rPr>
        <w:t>scheduled_reports</w:t>
      </w:r>
      <w:r>
        <w:t xml:space="preserve">, </w:t>
      </w:r>
      <w:r>
        <w:rPr>
          <w:rFonts w:ascii="Courier New" w:hAnsi="Courier New"/>
          <w:color w:val="1B3A6B"/>
          <w:sz w:val="18"/>
        </w:rPr>
        <w:t>report_exports</w:t>
      </w:r>
      <w:r>
        <w:t>.</w:t>
      </w:r>
    </w:p>
    <w:p>
      <w:pPr>
        <w:spacing w:after="120"/>
      </w:pPr>
      <w:r>
        <w:t>Entity relationship diagram, generated from the SQLAlchemy models in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backend/models/tables.py</w:t>
      </w:r>
      <w:r>
        <w:t xml:space="preserve">: </w:t>
      </w:r>
      <w:r>
        <w:rPr>
          <w:rFonts w:ascii="Courier New" w:hAnsi="Courier New"/>
          <w:color w:val="1B3A6B"/>
          <w:sz w:val="18"/>
        </w:rPr>
        <w:t>docs/screenshots/database-erd.png</w:t>
      </w:r>
      <w:r>
        <w:t xml:space="preserve"> (mermaid source</w:t>
      </w:r>
    </w:p>
    <w:p>
      <w:pPr>
        <w:spacing w:after="120"/>
      </w:pPr>
      <w:r>
        <w:t xml:space="preserve">in </w:t>
      </w:r>
      <w:r>
        <w:rPr>
          <w:rFonts w:ascii="Courier New" w:hAnsi="Courier New"/>
          <w:color w:val="1B3A6B"/>
          <w:sz w:val="18"/>
        </w:rPr>
        <w:t>docs/database-erd.html</w:t>
      </w:r>
      <w:r>
        <w:t>).</w:t>
      </w:r>
    </w:p>
    <w:p>
      <w:pPr>
        <w:spacing w:after="120"/>
      </w:pPr>
      <w:r>
        <w:rPr>
          <w:b/>
          <w:color w:val="1B3A6B"/>
        </w:rPr>
        <w:t>The relationships in that diagram are logical, not declared.</w:t>
      </w:r>
      <w:r>
        <w:t xml:space="preserve"> No column</w:t>
      </w:r>
    </w:p>
    <w:p>
      <w:pPr>
        <w:spacing w:after="120"/>
      </w:pPr>
      <w:r>
        <w:t xml:space="preserve">carries a </w:t>
      </w:r>
      <w:r>
        <w:rPr>
          <w:rFonts w:ascii="Courier New" w:hAnsi="Courier New"/>
          <w:color w:val="1B3A6B"/>
          <w:sz w:val="18"/>
        </w:rPr>
        <w:t>ForeignKey</w:t>
      </w:r>
      <w:r>
        <w:t xml:space="preserve"> constraint, so the database will not reject an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audit_log</w:t>
      </w:r>
      <w:r>
        <w:t xml:space="preserve"> row naming an agent that was never registered. That is deliberate</w:t>
      </w:r>
    </w:p>
    <w:p>
      <w:pPr>
        <w:spacing w:after="120"/>
      </w:pPr>
      <w:r>
        <w:t>in one place and a known gap in the others:</w:t>
      </w:r>
    </w:p>
    <w:p>
      <w:pPr>
        <w:pStyle w:val="ListBullet"/>
        <w:spacing w:after="40"/>
      </w:pPr>
      <w:r>
        <w:rPr>
          <w:rFonts w:ascii="Courier New" w:hAnsi="Courier New"/>
          <w:color w:val="1B3A6B"/>
          <w:sz w:val="18"/>
        </w:rPr>
        <w:t>audit_log.agent_id</w:t>
      </w:r>
      <w:r>
        <w:t xml:space="preserve"> </w:t>
      </w:r>
      <w:r>
        <w:rPr>
          <w:b/>
          <w:color w:val="1B3A6B"/>
        </w:rPr>
        <w:t>must</w:t>
      </w:r>
      <w:r>
        <w:t xml:space="preserve"> stay unconstrained. The whole point of the log</w:t>
      </w:r>
    </w:p>
    <w:p>
      <w:pPr>
        <w:spacing w:after="120"/>
      </w:pPr>
      <w:r>
        <w:t xml:space="preserve">  is to record what an unknown or unregistered caller attempted. A foreign key</w:t>
      </w:r>
    </w:p>
    <w:p>
      <w:pPr>
        <w:spacing w:after="120"/>
      </w:pPr>
      <w:r>
        <w:t xml:space="preserve">  here would make the system refuse to record exactly the events it exists to</w:t>
      </w:r>
    </w:p>
    <w:p>
      <w:pPr>
        <w:spacing w:after="120"/>
      </w:pPr>
      <w:r>
        <w:t xml:space="preserve">  catch, and it would let anyone delete an agent row to orphan its history.</w:t>
      </w:r>
    </w:p>
    <w:p>
      <w:pPr>
        <w:pStyle w:val="ListBullet"/>
        <w:spacing w:after="40"/>
      </w:pPr>
      <w:r>
        <w:rPr>
          <w:rFonts w:ascii="Courier New" w:hAnsi="Courier New"/>
          <w:color w:val="1B3A6B"/>
          <w:sz w:val="18"/>
        </w:rPr>
        <w:t>approval_queue.reviewer</w:t>
      </w:r>
      <w:r>
        <w:t xml:space="preserve">, </w:t>
      </w:r>
      <w:r>
        <w:rPr>
          <w:rFonts w:ascii="Courier New" w:hAnsi="Courier New"/>
          <w:color w:val="1B3A6B"/>
          <w:sz w:val="18"/>
        </w:rPr>
        <w:t>policy_rules.created_by</w:t>
      </w:r>
      <w:r>
        <w:t xml:space="preserve"> and the </w:t>
      </w:r>
      <w:r>
        <w:rPr>
          <w:rFonts w:ascii="Courier New" w:hAnsi="Courier New"/>
          <w:color w:val="1B3A6B"/>
          <w:sz w:val="18"/>
        </w:rPr>
        <w:t>created_by</w:t>
      </w:r>
    </w:p>
    <w:p>
      <w:pPr>
        <w:spacing w:after="120"/>
      </w:pPr>
      <w:r>
        <w:t xml:space="preserve">  columns on </w:t>
      </w:r>
      <w:r>
        <w:rPr>
          <w:rFonts w:ascii="Courier New" w:hAnsi="Courier New"/>
          <w:color w:val="1B3A6B"/>
          <w:sz w:val="18"/>
        </w:rPr>
        <w:t>api_keys</w:t>
      </w:r>
      <w:r>
        <w:t xml:space="preserve"> and </w:t>
      </w:r>
      <w:r>
        <w:rPr>
          <w:rFonts w:ascii="Courier New" w:hAnsi="Courier New"/>
          <w:color w:val="1B3A6B"/>
          <w:sz w:val="18"/>
        </w:rPr>
        <w:t>scheduled_reports</w:t>
      </w:r>
      <w:r>
        <w:t xml:space="preserve"> hold an email rather than a</w:t>
      </w:r>
    </w:p>
    <w:p>
      <w:pPr>
        <w:spacing w:after="120"/>
      </w:pPr>
      <w:r>
        <w:t xml:space="preserve">  user id, so a renamed account leaves the old string behind. These should be</w:t>
      </w:r>
    </w:p>
    <w:p>
      <w:pPr>
        <w:spacing w:after="120"/>
      </w:pPr>
      <w:r>
        <w:t xml:space="preserve">  real references and are not.</w:t>
      </w:r>
    </w:p>
    <w:p>
      <w:pPr>
        <w:spacing w:after="120"/>
      </w:pPr>
      <w:r>
        <w:t>Integrity is enforced in the application layer instead: the interception path</w:t>
      </w:r>
    </w:p>
    <w:p>
      <w:pPr>
        <w:spacing w:after="120"/>
      </w:pPr>
      <w:r>
        <w:t>resolves the agent before it writes counters, and the reviewer identity is taken</w:t>
      </w:r>
    </w:p>
    <w:p>
      <w:pPr>
        <w:spacing w:after="120"/>
      </w:pPr>
      <w:r>
        <w:t>from the verified JWT rather than the request body. Same register as the</w:t>
      </w:r>
    </w:p>
    <w:p>
      <w:pPr>
        <w:spacing w:after="120"/>
      </w:pPr>
      <w:r>
        <w:t>append-only guarantee below, which is also an application-level promise.</w:t>
      </w:r>
    </w:p>
    <w:p>
      <w:pPr>
        <w:spacing w:after="120"/>
      </w:pPr>
      <w:r>
        <w:t xml:space="preserve">Alembic is configured, but the schema is created by </w:t>
      </w:r>
      <w:r>
        <w:rPr>
          <w:rFonts w:ascii="Courier New" w:hAnsi="Courier New"/>
          <w:color w:val="1B3A6B"/>
          <w:sz w:val="18"/>
        </w:rPr>
        <w:t>Base.metadata.create_all()</w:t>
      </w:r>
    </w:p>
    <w:p>
      <w:pPr>
        <w:spacing w:after="120"/>
      </w:pPr>
      <w:r>
        <w:t xml:space="preserve">on startup and the one revision in </w:t>
      </w:r>
      <w:r>
        <w:rPr>
          <w:rFonts w:ascii="Courier New" w:hAnsi="Courier New"/>
          <w:color w:val="1B3A6B"/>
          <w:sz w:val="18"/>
        </w:rPr>
        <w:t>backend/alembic/versions</w:t>
      </w:r>
      <w:r>
        <w:t xml:space="preserve"> is empty. Nothing</w:t>
      </w:r>
    </w:p>
    <w:p>
      <w:pPr>
        <w:spacing w:after="120"/>
      </w:pPr>
      <w:r>
        <w:t xml:space="preserve">in the deployment runs </w:t>
      </w:r>
      <w:r>
        <w:rPr>
          <w:rFonts w:ascii="Courier New" w:hAnsi="Courier New"/>
          <w:color w:val="1B3A6B"/>
          <w:sz w:val="18"/>
        </w:rPr>
        <w:t>alembic upgrade</w:t>
      </w:r>
      <w:r>
        <w:t>. Recorded here rather than left implied.</w:t>
      </w:r>
    </w:p>
    <w:p>
      <w:pPr>
        <w:spacing w:after="120"/>
      </w:pPr>
      <w:r>
        <w:t xml:space="preserve">The agent registry was a dictionary in </w:t>
      </w:r>
      <w:r>
        <w:rPr>
          <w:rFonts w:ascii="Courier New" w:hAnsi="Courier New"/>
          <w:color w:val="1B3A6B"/>
          <w:sz w:val="18"/>
        </w:rPr>
        <w:t>backend/api/agents.py</w:t>
      </w:r>
      <w:r>
        <w:t xml:space="preserve"> until it moved</w:t>
      </w:r>
    </w:p>
    <w:p>
      <w:pPr>
        <w:spacing w:after="120"/>
      </w:pPr>
      <w:r>
        <w:t xml:space="preserve">into the </w:t>
      </w:r>
      <w:r>
        <w:rPr>
          <w:rFonts w:ascii="Courier New" w:hAnsi="Courier New"/>
          <w:color w:val="1B3A6B"/>
          <w:sz w:val="18"/>
        </w:rPr>
        <w:t>agents</w:t>
      </w:r>
      <w:r>
        <w:t xml:space="preserve"> table. Every restart of the container used to drop whatever</w:t>
      </w:r>
    </w:p>
    <w:p>
      <w:pPr>
        <w:spacing w:after="120"/>
      </w:pPr>
      <w:r>
        <w:t xml:space="preserve">had been registered through </w:t>
      </w:r>
      <w:r>
        <w:rPr>
          <w:rFonts w:ascii="Courier New" w:hAnsi="Courier New"/>
          <w:color w:val="1B3A6B"/>
          <w:sz w:val="18"/>
        </w:rPr>
        <w:t>POST /api/v1/agents</w:t>
      </w:r>
      <w:r>
        <w:t xml:space="preserve"> and put the hardcoded entry</w:t>
      </w:r>
    </w:p>
    <w:p>
      <w:pPr>
        <w:spacing w:after="120"/>
      </w:pPr>
      <w:r>
        <w:t>back.</w:t>
      </w:r>
    </w:p>
    <w:p>
      <w:pPr>
        <w:spacing w:after="120"/>
      </w:pPr>
      <w:r>
        <w:t>Redis 7 backs rate limiting and transient state.</w:t>
      </w:r>
    </w:p>
    <w:p>
      <w:pPr>
        <w:spacing w:after="120"/>
      </w:pPr>
      <w:r>
        <w:t>A background scheduler task starts with the application and drives scheduled</w:t>
      </w:r>
    </w:p>
    <w:p>
      <w:pPr>
        <w:spacing w:after="120"/>
      </w:pPr>
      <w:r>
        <w:t>report generation.</w:t>
      </w:r>
    </w:p>
    <w:p>
      <w:pPr>
        <w:spacing w:before="280"/>
      </w:pPr>
      <w:r>
        <w:rPr>
          <w:b/>
          <w:color w:val="1B3A6B"/>
          <w:sz w:val="26"/>
        </w:rPr>
        <w:t>Deployment</w:t>
      </w:r>
    </w:p>
    <w:p>
      <w:pPr>
        <w:spacing w:after="120"/>
      </w:pPr>
      <w:r>
        <w:rPr>
          <w:b/>
          <w:color w:val="1B3A6B"/>
        </w:rPr>
        <w:t>Production is Docker Compose on an Azure VM</w:t>
      </w:r>
      <w:r>
        <w:t>, not a managed platform. Three</w:t>
      </w:r>
    </w:p>
    <w:p>
      <w:pPr>
        <w:spacing w:after="120"/>
      </w:pPr>
      <w:r>
        <w:t xml:space="preserve">services from </w:t>
      </w:r>
      <w:r>
        <w:rPr>
          <w:rFonts w:ascii="Courier New" w:hAnsi="Courier New"/>
          <w:color w:val="1B3A6B"/>
          <w:sz w:val="18"/>
        </w:rPr>
        <w:t>docker-compose.azure.yml</w:t>
      </w:r>
      <w:r>
        <w:t>:</w:t>
      </w:r>
    </w:p>
    <w:p>
      <w:pPr>
        <w:pStyle w:val="ListBullet"/>
        <w:spacing w:after="40"/>
      </w:pPr>
      <w:r>
        <w:rPr>
          <w:rFonts w:ascii="Courier New" w:hAnsi="Courier New"/>
          <w:color w:val="1B3A6B"/>
          <w:sz w:val="18"/>
        </w:rPr>
        <w:t>postgres</w:t>
      </w:r>
      <w:r>
        <w:t xml:space="preserve"> (postgres:16-alpine) with a named volume</w:t>
      </w:r>
    </w:p>
    <w:p>
      <w:pPr>
        <w:pStyle w:val="ListBullet"/>
        <w:spacing w:after="40"/>
      </w:pPr>
      <w:r>
        <w:rPr>
          <w:rFonts w:ascii="Courier New" w:hAnsi="Courier New"/>
          <w:color w:val="1B3A6B"/>
          <w:sz w:val="18"/>
        </w:rPr>
        <w:t>redis</w:t>
      </w:r>
      <w:r>
        <w:t xml:space="preserve"> (redis:7-alpine)</w:t>
      </w:r>
    </w:p>
    <w:p>
      <w:pPr>
        <w:pStyle w:val="ListBullet"/>
        <w:spacing w:after="40"/>
      </w:pPr>
      <w:r>
        <w:rPr>
          <w:rFonts w:ascii="Courier New" w:hAnsi="Courier New"/>
          <w:color w:val="1B3A6B"/>
          <w:sz w:val="18"/>
        </w:rPr>
        <w:t>app</w:t>
      </w:r>
      <w:r>
        <w:t xml:space="preserve">, built from </w:t>
      </w:r>
      <w:r>
        <w:rPr>
          <w:rFonts w:ascii="Courier New" w:hAnsi="Courier New"/>
          <w:color w:val="1B3A6B"/>
          <w:sz w:val="18"/>
        </w:rPr>
        <w:t>infra/docker/Dockerfile.azure</w:t>
      </w:r>
      <w:r>
        <w:t xml:space="preserve">, published </w:t>
      </w:r>
      <w:r>
        <w:rPr>
          <w:rFonts w:ascii="Courier New" w:hAnsi="Courier New"/>
          <w:color w:val="1B3A6B"/>
          <w:sz w:val="18"/>
        </w:rPr>
        <w:t>80:8000</w:t>
      </w:r>
    </w:p>
    <w:p>
      <w:pPr>
        <w:spacing w:after="120"/>
      </w:pPr>
      <w:r>
        <w:t xml:space="preserve">The app image is a two-stage build. Stage one runs </w:t>
      </w:r>
      <w:r>
        <w:rPr>
          <w:rFonts w:ascii="Courier New" w:hAnsi="Courier New"/>
          <w:color w:val="1B3A6B"/>
          <w:sz w:val="18"/>
        </w:rPr>
        <w:t>npm ci</w:t>
      </w:r>
      <w:r>
        <w:t xml:space="preserve"> and </w:t>
      </w:r>
      <w:r>
        <w:rPr>
          <w:rFonts w:ascii="Courier New" w:hAnsi="Courier New"/>
          <w:color w:val="1B3A6B"/>
          <w:sz w:val="18"/>
        </w:rPr>
        <w:t>vite build</w:t>
      </w:r>
      <w:r>
        <w:t>;</w:t>
      </w:r>
    </w:p>
    <w:p>
      <w:pPr>
        <w:spacing w:after="120"/>
      </w:pPr>
      <w:r>
        <w:t>stage two installs the Python dependencies and copies the built frontend in as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frontend_dist/</w:t>
      </w:r>
      <w:r>
        <w:t>, which FastAPI serves. One image, one container, no nginx.</w:t>
      </w:r>
    </w:p>
    <w:p>
      <w:pPr>
        <w:spacing w:after="120"/>
      </w:pPr>
      <w:r>
        <w:t>Configuration is entirely environment variables (</w:t>
      </w:r>
      <w:r>
        <w:rPr>
          <w:rFonts w:ascii="Courier New" w:hAnsi="Courier New"/>
          <w:color w:val="1B3A6B"/>
          <w:sz w:val="18"/>
        </w:rPr>
        <w:t>DATABASE_URL</w:t>
      </w:r>
      <w:r>
        <w:t xml:space="preserve">, </w:t>
      </w:r>
      <w:r>
        <w:rPr>
          <w:rFonts w:ascii="Courier New" w:hAnsi="Courier New"/>
          <w:color w:val="1B3A6B"/>
          <w:sz w:val="18"/>
        </w:rPr>
        <w:t>REDIS_URL</w:t>
      </w:r>
      <w:r>
        <w:t>,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SECRET_KEY</w:t>
      </w:r>
      <w:r>
        <w:t xml:space="preserve">, </w:t>
      </w:r>
      <w:r>
        <w:rPr>
          <w:rFonts w:ascii="Courier New" w:hAnsi="Courier New"/>
          <w:color w:val="1B3A6B"/>
          <w:sz w:val="18"/>
        </w:rPr>
        <w:t>AGENT_API_KEY</w:t>
      </w:r>
      <w:r>
        <w:t xml:space="preserve">, </w:t>
      </w:r>
      <w:r>
        <w:rPr>
          <w:rFonts w:ascii="Courier New" w:hAnsi="Courier New"/>
          <w:color w:val="1B3A6B"/>
          <w:sz w:val="18"/>
        </w:rPr>
        <w:t>POLICY_CONFIG</w:t>
      </w:r>
      <w:r>
        <w:t xml:space="preserve">, </w:t>
      </w:r>
      <w:r>
        <w:rPr>
          <w:rFonts w:ascii="Courier New" w:hAnsi="Courier New"/>
          <w:color w:val="1B3A6B"/>
          <w:sz w:val="18"/>
        </w:rPr>
        <w:t>RULE_LIBRARY</w:t>
      </w:r>
      <w:r>
        <w:t xml:space="preserve">), read from a </w:t>
      </w:r>
      <w:r>
        <w:rPr>
          <w:rFonts w:ascii="Courier New" w:hAnsi="Courier New"/>
          <w:color w:val="1B3A6B"/>
          <w:sz w:val="18"/>
        </w:rPr>
        <w:t>.env</w:t>
      </w:r>
    </w:p>
    <w:p>
      <w:pPr>
        <w:spacing w:after="120"/>
      </w:pPr>
      <w:r>
        <w:t>that is not in the repository. That makes the secrets externalisable to a secret</w:t>
      </w:r>
    </w:p>
    <w:p>
      <w:pPr>
        <w:spacing w:after="120"/>
      </w:pPr>
      <w:r>
        <w:t>manager without code changes.</w:t>
      </w:r>
    </w:p>
    <w:p>
      <w:pPr>
        <w:spacing w:after="120"/>
      </w:pPr>
      <w:r>
        <w:t>Deployment is a pull-and-rebuild script on the VM, triggered over SSH by a GitHub</w:t>
      </w:r>
    </w:p>
    <w:p>
      <w:pPr>
        <w:spacing w:after="120"/>
      </w:pPr>
      <w:r>
        <w:t>Actions workflow. The CI deploy key is pinned to a forced command in the VM's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authorized_keys</w:t>
      </w:r>
      <w:r>
        <w:t>, so it can run the deploy script and nothing else.</w:t>
      </w:r>
    </w:p>
    <w:p>
      <w:pPr>
        <w:spacing w:before="280"/>
      </w:pPr>
      <w:r>
        <w:rPr>
          <w:b/>
          <w:color w:val="1B3A6B"/>
          <w:sz w:val="26"/>
        </w:rPr>
        <w:t>Non-functional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CONCERN</w:t>
            </w:r>
          </w:p>
        </w:tc>
        <w:tc>
          <w:tcPr>
            <w:tcW w:type="dxa" w:w="5328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HOW IT IS ADDRESSED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Latency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WebSocket push rather than polling; sub-second dashboard updates</w:t>
            </w:r>
          </w:p>
        </w:tc>
      </w:tr>
      <w:tr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Integrity</w:t>
            </w:r>
          </w:p>
        </w:tc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SHA-256 hash-chained audit with server-side verification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Access control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JWT + bcrypt + RBAC on every endpoint</w:t>
            </w:r>
          </w:p>
        </w:tc>
      </w:tr>
      <w:tr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Confidentiality</w:t>
            </w:r>
          </w:p>
        </w:tc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PII masking on stored payloads (top-level keys)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Availability under load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Rate limiting, 60/min general and 10/min auth</w:t>
            </w:r>
          </w:p>
        </w:tc>
      </w:tr>
      <w:tr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Failure mode</w:t>
            </w:r>
          </w:p>
        </w:tc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Fail-closed at four independent points</w:t>
            </w:r>
          </w:p>
        </w:tc>
      </w:tr>
    </w:tbl>
    <w:p/>
    <w:p>
      <w:pPr>
        <w:spacing w:before="280"/>
      </w:pPr>
      <w:r>
        <w:rPr>
          <w:b/>
          <w:color w:val="1B3A6B"/>
          <w:sz w:val="26"/>
        </w:rPr>
        <w:t>Known gaps</w:t>
      </w:r>
    </w:p>
    <w:p>
      <w:pPr>
        <w:spacing w:after="120"/>
      </w:pPr>
      <w:r>
        <w:t>Recorded here rather than only in the traceability matrix, because they are</w:t>
      </w:r>
    </w:p>
    <w:p>
      <w:pPr>
        <w:spacing w:after="120"/>
      </w:pPr>
      <w:r>
        <w:t>architectural rather than feature-level:</w:t>
      </w:r>
    </w:p>
    <w:p>
      <w:pPr>
        <w:pStyle w:val="ListBullet"/>
        <w:spacing w:after="40"/>
      </w:pPr>
      <w:r>
        <w:t xml:space="preserve">Policy conditions do not support </w:t>
      </w:r>
      <w:r>
        <w:rPr>
          <w:rFonts w:ascii="Courier New" w:hAnsi="Courier New"/>
          <w:color w:val="1B3A6B"/>
          <w:sz w:val="18"/>
        </w:rPr>
        <w:t>OR</w:t>
      </w:r>
      <w:r>
        <w:t xml:space="preserve"> (FR-02).</w:t>
      </w:r>
    </w:p>
    <w:p>
      <w:pPr>
        <w:pStyle w:val="ListBullet"/>
        <w:spacing w:after="40"/>
      </w:pPr>
      <w:r>
        <w:t>Approval SLA expiry is evaluated lazily on read; there is no background expiry</w:t>
      </w:r>
    </w:p>
    <w:p>
      <w:pPr>
        <w:spacing w:after="120"/>
      </w:pPr>
      <w:r>
        <w:t xml:space="preserve">  worker (FR-05).</w:t>
      </w:r>
    </w:p>
    <w:p>
      <w:pPr>
        <w:pStyle w:val="ListBullet"/>
        <w:spacing w:after="40"/>
      </w:pPr>
      <w:r>
        <w:t>PII masking covers top-level payload keys only.</w:t>
      </w:r>
    </w:p>
    <w:p>
      <w:pPr>
        <w:pStyle w:val="ListBullet"/>
        <w:spacing w:after="40"/>
      </w:pPr>
      <w:r>
        <w:t>Audit append-only is enforced in the application, not by a database constraint.</w:t>
      </w:r>
    </w:p>
    <w:p>
      <w:pPr>
        <w:pStyle w:val="ListBullet"/>
        <w:spacing w:after="40"/>
      </w:pPr>
      <w:r>
        <w:t>CORS origins are still the development list.</w:t>
      </w:r>
    </w:p>
    <w:sectPr w:rsidR="00FC693F" w:rsidRPr="0006063C" w:rsidSect="00034616">
      <w:footerReference w:type="default" r:id="rId9"/>
      <w:pgSz w:w="12240" w:h="15840"/>
      <w:pgMar w:top="1008" w:right="792" w:bottom="100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9"/>
        <w:sz w:val="15"/>
      </w:rPr>
      <w:t>CERTACITO.AI          University of Wollongong | CSIT321 | 2026 | Group 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Certacito.ai - System Architecture</dc:title>
  <dc:subject>A4 Prototype Presentation appendix</dc:subject>
  <dc:creator>Group 28, CSIT321, University of Wollongong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CSIT321 A4</cp:category>
</cp:coreProperties>
</file>