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logo-print.png"/>
                    <pic:cNvPicPr/>
                  </pic:nvPicPr>
                  <pic:blipFill>
                    <a:blip r:embed="rId10"/>
                    <a:stretch>
                      <a:fillRect/>
                    </a:stretch>
                  </pic:blipFill>
                  <pic:spPr>
                    <a:xfrm>
                      <a:off x="0" y="0"/>
                      <a:ext cx="777240" cy="777240"/>
                    </a:xfrm>
                    <a:prstGeom prst="rect"/>
                  </pic:spPr>
                </pic:pic>
              </a:graphicData>
            </a:graphic>
          </wp:inline>
        </w:drawing>
      </w:r>
    </w:p>
    <w:p>
      <w:r>
        <w:rPr>
          <w:b/>
          <w:color w:val="0D7377"/>
          <w:sz w:val="22"/>
        </w:rPr>
        <w:t>GROUP 28  ·  CSIT321</w:t>
      </w:r>
    </w:p>
    <w:p>
      <w:r>
        <w:rPr>
          <w:b/>
          <w:color w:val="1B3A6B"/>
          <w:sz w:val="60"/>
        </w:rPr>
        <w:t>Requirements Traceability Matrix</w:t>
      </w:r>
    </w:p>
    <w:p>
      <w:r>
        <w:rPr>
          <w:color w:val="6B7A99"/>
          <w:sz w:val="24"/>
        </w:rPr>
        <w:t>Certacito.ai  ·  A4 Prototype Presentation appendix</w:t>
      </w:r>
    </w:p>
    <w:p/>
    <w:p>
      <w:pPr>
        <w:spacing w:after="40"/>
      </w:pPr>
      <w:r>
        <w:rPr>
          <w:b/>
          <w:color w:val="1B3A6B"/>
          <w:sz w:val="20"/>
        </w:rPr>
        <w:t xml:space="preserve">Project   </w:t>
      </w:r>
      <w:r>
        <w:rPr>
          <w:color w:val="6B7A99"/>
          <w:sz w:val="20"/>
        </w:rPr>
        <w:t>Certacito.ai, AI agent governance platform</w:t>
      </w:r>
    </w:p>
    <w:p>
      <w:pPr>
        <w:spacing w:after="40"/>
      </w:pPr>
      <w:r>
        <w:rPr>
          <w:b/>
          <w:color w:val="1B3A6B"/>
          <w:sz w:val="20"/>
        </w:rPr>
        <w:t xml:space="preserve">Document   </w:t>
      </w:r>
      <w:r>
        <w:rPr>
          <w:color w:val="6B7A99"/>
          <w:sz w:val="20"/>
        </w:rPr>
        <w:t>requirements-traceability.md</w:t>
      </w:r>
    </w:p>
    <w:p>
      <w:pPr>
        <w:spacing w:after="40"/>
      </w:pPr>
      <w:r>
        <w:rPr>
          <w:b/>
          <w:color w:val="1B3A6B"/>
          <w:sz w:val="20"/>
        </w:rPr>
        <w:t xml:space="preserve">Date   </w:t>
      </w:r>
      <w:r>
        <w:rPr>
          <w:color w:val="6B7A99"/>
          <w:sz w:val="20"/>
        </w:rPr>
        <w:t>07 August 2026</w:t>
      </w:r>
    </w:p>
    <w:p>
      <w:pPr>
        <w:spacing w:after="40"/>
      </w:pPr>
      <w:r>
        <w:rPr>
          <w:b/>
          <w:color w:val="1B3A6B"/>
          <w:sz w:val="20"/>
        </w:rPr>
        <w:t xml:space="preserve">Live system   </w:t>
      </w:r>
      <w:r>
        <w:rPr>
          <w:color w:val="6B7A99"/>
          <w:sz w:val="20"/>
        </w:rPr>
        <w:t>http://20.92.93.30</w:t>
      </w:r>
    </w:p>
    <w:p>
      <w:r>
        <w:br w:type="page"/>
      </w:r>
    </w:p>
    <w:p>
      <w:pPr>
        <w:spacing w:after="120"/>
      </w:pPr>
      <w:r>
        <w:t>Status as of 07 August 2026, against the A2 requirements baseline.</w:t>
      </w:r>
    </w:p>
    <w:p>
      <w:pPr>
        <w:spacing w:after="120"/>
      </w:pPr>
      <w:r>
        <w:t>Priority follows MoSCoW. "Evidence" points at where each claim can be verified.</w:t>
      </w:r>
    </w:p>
    <w:p>
      <w:pPr>
        <w:spacing w:after="120"/>
      </w:pPr>
      <w:r>
        <w:t>Build order and what depends on what is in the section below the table.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val="clear" w:fill="1B3A6B"/>
          </w:tcPr>
          <w:p>
            <w:r/>
            <w:r>
              <w:rPr>
                <w:b/>
                <w:color w:val="FFFFFF"/>
                <w:sz w:val="15"/>
              </w:rPr>
              <w:t>ID</w:t>
            </w:r>
          </w:p>
        </w:tc>
        <w:tc>
          <w:tcPr>
            <w:tcW w:type="dxa" w:w="2376"/>
            <w:shd w:val="clear" w:fill="1B3A6B"/>
          </w:tcPr>
          <w:p>
            <w:r/>
            <w:r>
              <w:rPr>
                <w:b/>
                <w:color w:val="FFFFFF"/>
                <w:sz w:val="15"/>
              </w:rPr>
              <w:t>REQUIREMENT</w:t>
            </w:r>
          </w:p>
        </w:tc>
        <w:tc>
          <w:tcPr>
            <w:tcW w:type="dxa" w:w="2376"/>
            <w:shd w:val="clear" w:fill="1B3A6B"/>
          </w:tcPr>
          <w:p>
            <w:r/>
            <w:r>
              <w:rPr>
                <w:b/>
                <w:color w:val="FFFFFF"/>
                <w:sz w:val="15"/>
              </w:rPr>
              <w:t>TYPE</w:t>
            </w:r>
          </w:p>
        </w:tc>
        <w:tc>
          <w:tcPr>
            <w:tcW w:type="dxa" w:w="2376"/>
            <w:shd w:val="clear" w:fill="1B3A6B"/>
          </w:tcPr>
          <w:p>
            <w:r/>
            <w:r>
              <w:rPr>
                <w:b/>
                <w:color w:val="FFFFFF"/>
                <w:sz w:val="15"/>
              </w:rPr>
              <w:t>PRIORITY</w:t>
            </w:r>
          </w:p>
        </w:tc>
        <w:tc>
          <w:tcPr>
            <w:tcW w:type="dxa" w:w="2376"/>
            <w:shd w:val="clear" w:fill="1B3A6B"/>
          </w:tcPr>
          <w:p>
            <w:r/>
            <w:r>
              <w:rPr>
                <w:b/>
                <w:color w:val="FFFFFF"/>
                <w:sz w:val="15"/>
              </w:rPr>
              <w:t>STATUS</w:t>
            </w:r>
          </w:p>
        </w:tc>
        <w:tc>
          <w:tcPr>
            <w:tcW w:type="dxa" w:w="2376"/>
            <w:shd w:val="clear" w:fill="1B3A6B"/>
          </w:tcPr>
          <w:p>
            <w:r/>
            <w:r>
              <w:rPr>
                <w:b/>
                <w:color w:val="FFFFFF"/>
                <w:sz w:val="15"/>
              </w:rPr>
              <w:t>EVIDENCE / NOTES</w:t>
            </w:r>
          </w:p>
        </w:tc>
      </w:tr>
      <w:tr>
        <w:tc>
          <w:tcPr>
            <w:tcW w:type="dxa" w:w="2376"/>
          </w:tcPr>
          <w:p>
            <w:pPr>
              <w:spacing w:after="20"/>
            </w:pPr>
            <w:r>
              <w:rPr>
                <w:sz w:val="16"/>
              </w:rPr>
            </w:r>
            <w:r>
              <w:rPr>
                <w:sz w:val="16"/>
              </w:rPr>
              <w:t>FR-01</w:t>
            </w:r>
          </w:p>
        </w:tc>
        <w:tc>
          <w:tcPr>
            <w:tcW w:type="dxa" w:w="2376"/>
          </w:tcPr>
          <w:p>
            <w:pPr>
              <w:spacing w:after="20"/>
            </w:pPr>
            <w:r>
              <w:rPr>
                <w:sz w:val="16"/>
              </w:rPr>
            </w:r>
            <w:r>
              <w:rPr>
                <w:sz w:val="16"/>
              </w:rPr>
              <w:t>Pre-execution interception layer, fail-closed</w:t>
            </w:r>
          </w:p>
        </w:tc>
        <w:tc>
          <w:tcPr>
            <w:tcW w:type="dxa" w:w="2376"/>
          </w:tcPr>
          <w:p>
            <w:pPr>
              <w:spacing w:after="20"/>
            </w:pPr>
            <w:r>
              <w:rPr>
                <w:sz w:val="16"/>
              </w:rPr>
            </w:r>
            <w:r>
              <w:rPr>
                <w:sz w:val="16"/>
              </w:rPr>
              <w:t>F</w:t>
            </w:r>
          </w:p>
        </w:tc>
        <w:tc>
          <w:tcPr>
            <w:tcW w:type="dxa" w:w="2376"/>
          </w:tcPr>
          <w:p>
            <w:pPr>
              <w:spacing w:after="20"/>
            </w:pPr>
            <w:r>
              <w:rPr>
                <w:sz w:val="16"/>
              </w:rPr>
            </w:r>
            <w:r>
              <w:rPr>
                <w:sz w:val="16"/>
              </w:rPr>
              <w:t>Must</w:t>
            </w:r>
          </w:p>
        </w:tc>
        <w:tc>
          <w:tcPr>
            <w:tcW w:type="dxa" w:w="2376"/>
          </w:tcPr>
          <w:p>
            <w:pPr>
              <w:spacing w:after="20"/>
            </w:pPr>
            <w:r>
              <w:rPr>
                <w:sz w:val="16"/>
              </w:rPr>
            </w:r>
            <w:r>
              <w:rPr>
                <w:b/>
                <w:color w:val="1B3A6B"/>
                <w:sz w:val="16"/>
              </w:rPr>
              <w:t>Done</w:t>
            </w:r>
          </w:p>
        </w:tc>
        <w:tc>
          <w:tcPr>
            <w:tcW w:type="dxa" w:w="2376"/>
          </w:tcPr>
          <w:p>
            <w:pPr>
              <w:spacing w:after="20"/>
            </w:pPr>
            <w:r>
              <w:rPr>
                <w:sz w:val="16"/>
              </w:rPr>
            </w:r>
            <w:r>
              <w:rPr>
                <w:rFonts w:ascii="Courier New" w:hAnsi="Courier New"/>
                <w:color w:val="1B3A6B"/>
                <w:sz w:val="16"/>
              </w:rPr>
              <w:t>POST /api/v1/intercept</w:t>
            </w:r>
            <w:r>
              <w:rPr>
                <w:sz w:val="16"/>
              </w:rPr>
              <w:t xml:space="preserve"> (backend/api/interception.py). Engine errors deny; agent-side hook denies if the API is unreachable; no matching rule denies. Agent calls authenticate with </w:t>
            </w:r>
            <w:r>
              <w:rPr>
                <w:rFonts w:ascii="Courier New" w:hAnsi="Courier New"/>
                <w:color w:val="1B3A6B"/>
                <w:sz w:val="16"/>
              </w:rPr>
              <w:t>X-API-Key</w:t>
            </w:r>
            <w:r>
              <w:rPr>
                <w:sz w:val="16"/>
              </w:rPr>
              <w:t>.</w:t>
            </w:r>
          </w:p>
        </w:tc>
      </w:tr>
      <w:tr>
        <w:tc>
          <w:tcPr>
            <w:tcW w:type="dxa" w:w="2376"/>
            <w:shd w:val="clear" w:fill="F7F9FC"/>
          </w:tcPr>
          <w:p>
            <w:pPr>
              <w:spacing w:after="20"/>
            </w:pPr>
            <w:r>
              <w:rPr>
                <w:sz w:val="16"/>
              </w:rPr>
            </w:r>
            <w:r>
              <w:rPr>
                <w:sz w:val="16"/>
              </w:rPr>
              <w:t>FR-02</w:t>
            </w:r>
          </w:p>
        </w:tc>
        <w:tc>
          <w:tcPr>
            <w:tcW w:type="dxa" w:w="2376"/>
            <w:shd w:val="clear" w:fill="F7F9FC"/>
          </w:tcPr>
          <w:p>
            <w:pPr>
              <w:spacing w:after="20"/>
            </w:pPr>
            <w:r>
              <w:rPr>
                <w:sz w:val="16"/>
              </w:rPr>
            </w:r>
            <w:r>
              <w:rPr>
                <w:sz w:val="16"/>
              </w:rPr>
              <w:t>Deterministic policy engine, rules in version-controlled config</w:t>
            </w:r>
          </w:p>
        </w:tc>
        <w:tc>
          <w:tcPr>
            <w:tcW w:type="dxa" w:w="2376"/>
            <w:shd w:val="clear" w:fill="F7F9FC"/>
          </w:tcPr>
          <w:p>
            <w:pPr>
              <w:spacing w:after="20"/>
            </w:pPr>
            <w:r>
              <w:rPr>
                <w:sz w:val="16"/>
              </w:rPr>
            </w:r>
            <w:r>
              <w:rPr>
                <w:sz w:val="16"/>
              </w:rPr>
              <w:t>F</w:t>
            </w:r>
          </w:p>
        </w:tc>
        <w:tc>
          <w:tcPr>
            <w:tcW w:type="dxa" w:w="2376"/>
            <w:shd w:val="clear" w:fill="F7F9FC"/>
          </w:tcPr>
          <w:p>
            <w:pPr>
              <w:spacing w:after="20"/>
            </w:pPr>
            <w:r>
              <w:rPr>
                <w:sz w:val="16"/>
              </w:rPr>
            </w:r>
            <w:r>
              <w:rPr>
                <w:sz w:val="16"/>
              </w:rPr>
              <w:t>Must</w:t>
            </w:r>
          </w:p>
        </w:tc>
        <w:tc>
          <w:tcPr>
            <w:tcW w:type="dxa" w:w="2376"/>
            <w:shd w:val="clear" w:fill="F7F9FC"/>
          </w:tcPr>
          <w:p>
            <w:pPr>
              <w:spacing w:after="20"/>
            </w:pPr>
            <w:r>
              <w:rPr>
                <w:sz w:val="16"/>
              </w:rPr>
            </w:r>
            <w:r>
              <w:rPr>
                <w:b/>
                <w:color w:val="1B3A6B"/>
                <w:sz w:val="16"/>
              </w:rPr>
              <w:t>Done</w:t>
            </w:r>
          </w:p>
        </w:tc>
        <w:tc>
          <w:tcPr>
            <w:tcW w:type="dxa" w:w="2376"/>
            <w:shd w:val="clear" w:fill="F7F9FC"/>
          </w:tcPr>
          <w:p>
            <w:pPr>
              <w:spacing w:after="20"/>
            </w:pPr>
            <w:r>
              <w:rPr>
                <w:sz w:val="16"/>
              </w:rPr>
            </w:r>
            <w:r>
              <w:rPr>
                <w:sz w:val="16"/>
              </w:rPr>
              <w:t xml:space="preserve">12 rules in </w:t>
            </w:r>
            <w:r>
              <w:rPr>
                <w:rFonts w:ascii="Courier New" w:hAnsi="Courier New"/>
                <w:color w:val="1B3A6B"/>
                <w:sz w:val="16"/>
              </w:rPr>
              <w:t>backend/policies.yaml</w:t>
            </w:r>
            <w:r>
              <w:rPr>
                <w:sz w:val="16"/>
              </w:rPr>
              <w:t xml:space="preserve">, git-tracked, evaluated in </w:t>
            </w:r>
            <w:r>
              <w:rPr>
                <w:rFonts w:ascii="Courier New" w:hAnsi="Courier New"/>
                <w:color w:val="1B3A6B"/>
                <w:sz w:val="16"/>
              </w:rPr>
              <w:t>backend/services/policy_engine.py</w:t>
            </w:r>
            <w:r>
              <w:rPr>
                <w:sz w:val="16"/>
              </w:rPr>
              <w:t>. Conditions are parsed by a recursive-descent parser (</w:t>
            </w:r>
            <w:r>
              <w:rPr>
                <w:rFonts w:ascii="Courier New" w:hAnsi="Courier New"/>
                <w:color w:val="1B3A6B"/>
                <w:sz w:val="16"/>
              </w:rPr>
              <w:t>backend/services/condition_parser.py</w:t>
            </w:r>
            <w:r>
              <w:rPr>
                <w:sz w:val="16"/>
              </w:rPr>
              <w:t xml:space="preserve">) covering </w:t>
            </w:r>
            <w:r>
              <w:rPr>
                <w:rFonts w:ascii="Courier New" w:hAnsi="Courier New"/>
                <w:color w:val="1B3A6B"/>
                <w:sz w:val="16"/>
              </w:rPr>
              <w:t>==</w:t>
            </w:r>
            <w:r>
              <w:rPr>
                <w:sz w:val="16"/>
              </w:rPr>
              <w:t xml:space="preserve">, </w:t>
            </w:r>
            <w:r>
              <w:rPr>
                <w:rFonts w:ascii="Courier New" w:hAnsi="Courier New"/>
                <w:color w:val="1B3A6B"/>
                <w:sz w:val="16"/>
              </w:rPr>
              <w:t>!=</w:t>
            </w:r>
            <w:r>
              <w:rPr>
                <w:sz w:val="16"/>
              </w:rPr>
              <w:t xml:space="preserve">, </w:t>
            </w:r>
            <w:r>
              <w:rPr>
                <w:rFonts w:ascii="Courier New" w:hAnsi="Courier New"/>
                <w:color w:val="1B3A6B"/>
                <w:sz w:val="16"/>
              </w:rPr>
              <w:t>&gt;</w:t>
            </w:r>
            <w:r>
              <w:rPr>
                <w:sz w:val="16"/>
              </w:rPr>
              <w:t xml:space="preserve">, </w:t>
            </w:r>
            <w:r>
              <w:rPr>
                <w:rFonts w:ascii="Courier New" w:hAnsi="Courier New"/>
                <w:color w:val="1B3A6B"/>
                <w:sz w:val="16"/>
              </w:rPr>
              <w:t>&lt;</w:t>
            </w:r>
            <w:r>
              <w:rPr>
                <w:sz w:val="16"/>
              </w:rPr>
              <w:t xml:space="preserve">, </w:t>
            </w:r>
            <w:r>
              <w:rPr>
                <w:rFonts w:ascii="Courier New" w:hAnsi="Courier New"/>
                <w:color w:val="1B3A6B"/>
                <w:sz w:val="16"/>
              </w:rPr>
              <w:t>&gt;=</w:t>
            </w:r>
            <w:r>
              <w:rPr>
                <w:sz w:val="16"/>
              </w:rPr>
              <w:t xml:space="preserve">, </w:t>
            </w:r>
            <w:r>
              <w:rPr>
                <w:rFonts w:ascii="Courier New" w:hAnsi="Courier New"/>
                <w:color w:val="1B3A6B"/>
                <w:sz w:val="16"/>
              </w:rPr>
              <w:t>&lt;=</w:t>
            </w:r>
            <w:r>
              <w:rPr>
                <w:sz w:val="16"/>
              </w:rPr>
              <w:t xml:space="preserve">, </w:t>
            </w:r>
            <w:r>
              <w:rPr>
                <w:rFonts w:ascii="Courier New" w:hAnsi="Courier New"/>
                <w:color w:val="1B3A6B"/>
                <w:sz w:val="16"/>
              </w:rPr>
              <w:t>IN</w:t>
            </w:r>
            <w:r>
              <w:rPr>
                <w:sz w:val="16"/>
              </w:rPr>
              <w:t xml:space="preserve">, </w:t>
            </w:r>
            <w:r>
              <w:rPr>
                <w:rFonts w:ascii="Courier New" w:hAnsi="Courier New"/>
                <w:color w:val="1B3A6B"/>
                <w:sz w:val="16"/>
              </w:rPr>
              <w:t>NOT IN</w:t>
            </w:r>
            <w:r>
              <w:rPr>
                <w:sz w:val="16"/>
              </w:rPr>
              <w:t xml:space="preserve">, </w:t>
            </w:r>
            <w:r>
              <w:rPr>
                <w:rFonts w:ascii="Courier New" w:hAnsi="Courier New"/>
                <w:color w:val="1B3A6B"/>
                <w:sz w:val="16"/>
              </w:rPr>
              <w:t>CONTAINS</w:t>
            </w:r>
            <w:r>
              <w:rPr>
                <w:sz w:val="16"/>
              </w:rPr>
              <w:t xml:space="preserve">, </w:t>
            </w:r>
            <w:r>
              <w:rPr>
                <w:rFonts w:ascii="Courier New" w:hAnsi="Courier New"/>
                <w:color w:val="1B3A6B"/>
                <w:sz w:val="16"/>
              </w:rPr>
              <w:t>NOT CONTAINS</w:t>
            </w:r>
            <w:r>
              <w:rPr>
                <w:sz w:val="16"/>
              </w:rPr>
              <w:t xml:space="preserve">, </w:t>
            </w:r>
            <w:r>
              <w:rPr>
                <w:rFonts w:ascii="Courier New" w:hAnsi="Courier New"/>
                <w:color w:val="1B3A6B"/>
                <w:sz w:val="16"/>
              </w:rPr>
              <w:t>MATCHES</w:t>
            </w:r>
            <w:r>
              <w:rPr>
                <w:sz w:val="16"/>
              </w:rPr>
              <w:t xml:space="preserve">, </w:t>
            </w:r>
            <w:r>
              <w:rPr>
                <w:rFonts w:ascii="Courier New" w:hAnsi="Courier New"/>
                <w:color w:val="1B3A6B"/>
                <w:sz w:val="16"/>
              </w:rPr>
              <w:t>NOT MATCHES</w:t>
            </w:r>
            <w:r>
              <w:rPr>
                <w:sz w:val="16"/>
              </w:rPr>
              <w:t xml:space="preserve">, </w:t>
            </w:r>
            <w:r>
              <w:rPr>
                <w:rFonts w:ascii="Courier New" w:hAnsi="Courier New"/>
                <w:color w:val="1B3A6B"/>
                <w:sz w:val="16"/>
              </w:rPr>
              <w:t>AND</w:t>
            </w:r>
            <w:r>
              <w:rPr>
                <w:sz w:val="16"/>
              </w:rPr>
              <w:t xml:space="preserve">, </w:t>
            </w:r>
            <w:r>
              <w:rPr>
                <w:rFonts w:ascii="Courier New" w:hAnsi="Courier New"/>
                <w:color w:val="1B3A6B"/>
                <w:sz w:val="16"/>
              </w:rPr>
              <w:t>OR</w:t>
            </w:r>
            <w:r>
              <w:rPr>
                <w:sz w:val="16"/>
              </w:rPr>
              <w:t xml:space="preserve">, </w:t>
            </w:r>
            <w:r>
              <w:rPr>
                <w:rFonts w:ascii="Courier New" w:hAnsi="Courier New"/>
                <w:color w:val="1B3A6B"/>
                <w:sz w:val="16"/>
              </w:rPr>
              <w:t>NOT</w:t>
            </w:r>
            <w:r>
              <w:rPr>
                <w:sz w:val="16"/>
              </w:rPr>
              <w:t xml:space="preserve"> and parentheses, with three-valued logic so an unevaluable term is unknown rather than false, resolved against the named sets (</w:t>
            </w:r>
            <w:r>
              <w:rPr>
                <w:rFonts w:ascii="Courier New" w:hAnsi="Courier New"/>
                <w:color w:val="1B3A6B"/>
                <w:sz w:val="16"/>
              </w:rPr>
              <w:t>approved_tools</w:t>
            </w:r>
            <w:r>
              <w:rPr>
                <w:sz w:val="16"/>
              </w:rPr>
              <w:t xml:space="preserve">, </w:t>
            </w:r>
            <w:r>
              <w:rPr>
                <w:rFonts w:ascii="Courier New" w:hAnsi="Courier New"/>
                <w:color w:val="1B3A6B"/>
                <w:sz w:val="16"/>
              </w:rPr>
              <w:t>restricted_tables</w:t>
            </w:r>
            <w:r>
              <w:rPr>
                <w:sz w:val="16"/>
              </w:rPr>
              <w:t xml:space="preserve">, ...) defined in the same file. Those sets were referenced by rules but never actually defined, so every membership test passed and RULE-005 permitted any tool at all - fixed, with regression tests in </w:t>
            </w:r>
            <w:r>
              <w:rPr>
                <w:rFonts w:ascii="Courier New" w:hAnsi="Courier New"/>
                <w:color w:val="1B3A6B"/>
                <w:sz w:val="16"/>
              </w:rPr>
              <w:t>tests/backend/test_policy_engine.py</w:t>
            </w:r>
            <w:r>
              <w:rPr>
                <w:sz w:val="16"/>
              </w:rPr>
              <w:t>. Where a condition cannot be resolved the rule does not match and the request falls to the default deny.</w:t>
            </w:r>
          </w:p>
        </w:tc>
      </w:tr>
      <w:tr>
        <w:tc>
          <w:tcPr>
            <w:tcW w:type="dxa" w:w="2376"/>
          </w:tcPr>
          <w:p>
            <w:pPr>
              <w:spacing w:after="20"/>
            </w:pPr>
            <w:r>
              <w:rPr>
                <w:sz w:val="16"/>
              </w:rPr>
            </w:r>
            <w:r>
              <w:rPr>
                <w:sz w:val="16"/>
              </w:rPr>
              <w:t>FR-03</w:t>
            </w:r>
          </w:p>
        </w:tc>
        <w:tc>
          <w:tcPr>
            <w:tcW w:type="dxa" w:w="2376"/>
          </w:tcPr>
          <w:p>
            <w:pPr>
              <w:spacing w:after="20"/>
            </w:pPr>
            <w:r>
              <w:rPr>
                <w:sz w:val="16"/>
              </w:rPr>
            </w:r>
            <w:r>
              <w:rPr>
                <w:sz w:val="16"/>
              </w:rPr>
              <w:t>Immutable audit logging, SHA-256 hash chained</w:t>
            </w:r>
          </w:p>
        </w:tc>
        <w:tc>
          <w:tcPr>
            <w:tcW w:type="dxa" w:w="2376"/>
          </w:tcPr>
          <w:p>
            <w:pPr>
              <w:spacing w:after="20"/>
            </w:pPr>
            <w:r>
              <w:rPr>
                <w:sz w:val="16"/>
              </w:rPr>
            </w:r>
            <w:r>
              <w:rPr>
                <w:sz w:val="16"/>
              </w:rPr>
              <w:t>F</w:t>
            </w:r>
          </w:p>
        </w:tc>
        <w:tc>
          <w:tcPr>
            <w:tcW w:type="dxa" w:w="2376"/>
          </w:tcPr>
          <w:p>
            <w:pPr>
              <w:spacing w:after="20"/>
            </w:pPr>
            <w:r>
              <w:rPr>
                <w:sz w:val="16"/>
              </w:rPr>
            </w:r>
            <w:r>
              <w:rPr>
                <w:sz w:val="16"/>
              </w:rPr>
              <w:t>Must</w:t>
            </w:r>
          </w:p>
        </w:tc>
        <w:tc>
          <w:tcPr>
            <w:tcW w:type="dxa" w:w="2376"/>
          </w:tcPr>
          <w:p>
            <w:pPr>
              <w:spacing w:after="20"/>
            </w:pPr>
            <w:r>
              <w:rPr>
                <w:sz w:val="16"/>
              </w:rPr>
            </w:r>
            <w:r>
              <w:rPr>
                <w:b/>
                <w:color w:val="1B3A6B"/>
                <w:sz w:val="16"/>
              </w:rPr>
              <w:t>Done</w:t>
            </w:r>
          </w:p>
        </w:tc>
        <w:tc>
          <w:tcPr>
            <w:tcW w:type="dxa" w:w="2376"/>
          </w:tcPr>
          <w:p>
            <w:pPr>
              <w:spacing w:after="20"/>
            </w:pPr>
            <w:r>
              <w:rPr>
                <w:sz w:val="16"/>
              </w:rPr>
            </w:r>
            <w:r>
              <w:rPr>
                <w:rFonts w:ascii="Courier New" w:hAnsi="Courier New"/>
                <w:color w:val="1B3A6B"/>
                <w:sz w:val="16"/>
              </w:rPr>
              <w:t>backend/services/audit.py</w:t>
            </w:r>
            <w:r>
              <w:rPr>
                <w:sz w:val="16"/>
              </w:rPr>
              <w:t xml:space="preserve">. Each entry hashes its own contents plus the previous entry's hash; </w:t>
            </w:r>
            <w:r>
              <w:rPr>
                <w:rFonts w:ascii="Courier New" w:hAnsi="Courier New"/>
                <w:color w:val="1B3A6B"/>
                <w:sz w:val="16"/>
              </w:rPr>
              <w:t>GET /api/v1/audit/verify</w:t>
            </w:r>
            <w:r>
              <w:rPr>
                <w:sz w:val="16"/>
              </w:rPr>
              <w:t xml:space="preserve"> walks the whole log from genesis, recomputes every hash and reports the first bad entry. It previously only compared stored hashes to each other and never recomputed one, so any column could be edited - a DENY flipped to PERMIT, a Critical dropped to Low - and the chain still reported valid. The hash now covers every stored column (it covered 7 of 12), which changed the recipe, so existing rows were re-chained once via </w:t>
            </w:r>
            <w:r>
              <w:rPr>
                <w:rFonts w:ascii="Courier New" w:hAnsi="Courier New"/>
                <w:color w:val="1B3A6B"/>
                <w:sz w:val="16"/>
              </w:rPr>
              <w:t>infra/scripts/rechain_audit_v2.py</w:t>
            </w:r>
            <w:r>
              <w:rPr>
                <w:sz w:val="16"/>
              </w:rPr>
              <w:t xml:space="preserve">. Tamper tests in </w:t>
            </w:r>
            <w:r>
              <w:rPr>
                <w:rFonts w:ascii="Courier New" w:hAnsi="Courier New"/>
                <w:color w:val="1B3A6B"/>
                <w:sz w:val="16"/>
              </w:rPr>
              <w:t>tests/backend/test_audit.py</w:t>
            </w:r>
            <w:r>
              <w:rPr>
                <w:sz w:val="16"/>
              </w:rPr>
              <w:t>. A race that let concurrent appends fork the chain was fixed earlier with an append lock (</w:t>
            </w:r>
            <w:r>
              <w:rPr>
                <w:rFonts w:ascii="Courier New" w:hAnsi="Courier New"/>
                <w:color w:val="1B3A6B"/>
                <w:sz w:val="16"/>
              </w:rPr>
              <w:t>infra/scripts/repair_audit_chain.py</w:t>
            </w:r>
            <w:r>
              <w:rPr>
                <w:sz w:val="16"/>
              </w:rPr>
              <w:t>). Append-only is enforced at app level; a DB-level guard (trigger/permissions) is planned for production.</w:t>
            </w:r>
          </w:p>
        </w:tc>
      </w:tr>
      <w:tr>
        <w:tc>
          <w:tcPr>
            <w:tcW w:type="dxa" w:w="2376"/>
            <w:shd w:val="clear" w:fill="F7F9FC"/>
          </w:tcPr>
          <w:p>
            <w:pPr>
              <w:spacing w:after="20"/>
            </w:pPr>
            <w:r>
              <w:rPr>
                <w:sz w:val="16"/>
              </w:rPr>
            </w:r>
            <w:r>
              <w:rPr>
                <w:sz w:val="16"/>
              </w:rPr>
              <w:t>FR-04</w:t>
            </w:r>
          </w:p>
        </w:tc>
        <w:tc>
          <w:tcPr>
            <w:tcW w:type="dxa" w:w="2376"/>
            <w:shd w:val="clear" w:fill="F7F9FC"/>
          </w:tcPr>
          <w:p>
            <w:pPr>
              <w:spacing w:after="20"/>
            </w:pPr>
            <w:r>
              <w:rPr>
                <w:sz w:val="16"/>
              </w:rPr>
            </w:r>
            <w:r>
              <w:rPr>
                <w:sz w:val="16"/>
              </w:rPr>
              <w:t>RBAC (Administrator/Analyst/Viewer) enforced at the API layer</w:t>
            </w:r>
          </w:p>
        </w:tc>
        <w:tc>
          <w:tcPr>
            <w:tcW w:type="dxa" w:w="2376"/>
            <w:shd w:val="clear" w:fill="F7F9FC"/>
          </w:tcPr>
          <w:p>
            <w:pPr>
              <w:spacing w:after="20"/>
            </w:pPr>
            <w:r>
              <w:rPr>
                <w:sz w:val="16"/>
              </w:rPr>
            </w:r>
            <w:r>
              <w:rPr>
                <w:sz w:val="16"/>
              </w:rPr>
              <w:t>F</w:t>
            </w:r>
          </w:p>
        </w:tc>
        <w:tc>
          <w:tcPr>
            <w:tcW w:type="dxa" w:w="2376"/>
            <w:shd w:val="clear" w:fill="F7F9FC"/>
          </w:tcPr>
          <w:p>
            <w:pPr>
              <w:spacing w:after="20"/>
            </w:pPr>
            <w:r>
              <w:rPr>
                <w:sz w:val="16"/>
              </w:rPr>
            </w:r>
            <w:r>
              <w:rPr>
                <w:sz w:val="16"/>
              </w:rPr>
              <w:t>Must</w:t>
            </w:r>
          </w:p>
        </w:tc>
        <w:tc>
          <w:tcPr>
            <w:tcW w:type="dxa" w:w="2376"/>
            <w:shd w:val="clear" w:fill="F7F9FC"/>
          </w:tcPr>
          <w:p>
            <w:pPr>
              <w:spacing w:after="20"/>
            </w:pPr>
            <w:r>
              <w:rPr>
                <w:sz w:val="16"/>
              </w:rPr>
            </w:r>
            <w:r>
              <w:rPr>
                <w:b/>
                <w:color w:val="1B3A6B"/>
                <w:sz w:val="16"/>
              </w:rPr>
              <w:t>Done</w:t>
            </w:r>
          </w:p>
        </w:tc>
        <w:tc>
          <w:tcPr>
            <w:tcW w:type="dxa" w:w="2376"/>
            <w:shd w:val="clear" w:fill="F7F9FC"/>
          </w:tcPr>
          <w:p>
            <w:pPr>
              <w:spacing w:after="20"/>
            </w:pPr>
            <w:r>
              <w:rPr>
                <w:sz w:val="16"/>
              </w:rPr>
            </w:r>
            <w:r>
              <w:rPr>
                <w:sz w:val="16"/>
              </w:rPr>
              <w:t xml:space="preserve">JWT + bcrypt. Every endpoint carries an auth dependency (see README endpoint table). Self-registration disabled: user creation is admin-only, first account bootstraps. Regression tests in </w:t>
            </w:r>
            <w:r>
              <w:rPr>
                <w:rFonts w:ascii="Courier New" w:hAnsi="Courier New"/>
                <w:color w:val="1B3A6B"/>
                <w:sz w:val="16"/>
              </w:rPr>
              <w:t>tests/backend/test_api.py</w:t>
            </w:r>
            <w:r>
              <w:rPr>
                <w:sz w:val="16"/>
              </w:rPr>
              <w:t xml:space="preserve"> (RBAC section).</w:t>
            </w:r>
          </w:p>
        </w:tc>
      </w:tr>
      <w:tr>
        <w:tc>
          <w:tcPr>
            <w:tcW w:type="dxa" w:w="2376"/>
          </w:tcPr>
          <w:p>
            <w:pPr>
              <w:spacing w:after="20"/>
            </w:pPr>
            <w:r>
              <w:rPr>
                <w:sz w:val="16"/>
              </w:rPr>
            </w:r>
            <w:r>
              <w:rPr>
                <w:sz w:val="16"/>
              </w:rPr>
              <w:t>FR-05</w:t>
            </w:r>
          </w:p>
        </w:tc>
        <w:tc>
          <w:tcPr>
            <w:tcW w:type="dxa" w:w="2376"/>
          </w:tcPr>
          <w:p>
            <w:pPr>
              <w:spacing w:after="20"/>
            </w:pPr>
            <w:r>
              <w:rPr>
                <w:sz w:val="16"/>
              </w:rPr>
            </w:r>
            <w:r>
              <w:rPr>
                <w:sz w:val="16"/>
              </w:rPr>
              <w:t>Human-in-the-loop approval queue with SLA auto-reject</w:t>
            </w:r>
          </w:p>
        </w:tc>
        <w:tc>
          <w:tcPr>
            <w:tcW w:type="dxa" w:w="2376"/>
          </w:tcPr>
          <w:p>
            <w:pPr>
              <w:spacing w:after="20"/>
            </w:pPr>
            <w:r>
              <w:rPr>
                <w:sz w:val="16"/>
              </w:rPr>
            </w:r>
            <w:r>
              <w:rPr>
                <w:sz w:val="16"/>
              </w:rPr>
              <w:t>F</w:t>
            </w:r>
          </w:p>
        </w:tc>
        <w:tc>
          <w:tcPr>
            <w:tcW w:type="dxa" w:w="2376"/>
          </w:tcPr>
          <w:p>
            <w:pPr>
              <w:spacing w:after="20"/>
            </w:pPr>
            <w:r>
              <w:rPr>
                <w:sz w:val="16"/>
              </w:rPr>
            </w:r>
            <w:r>
              <w:rPr>
                <w:sz w:val="16"/>
              </w:rPr>
              <w:t>Must</w:t>
            </w:r>
          </w:p>
        </w:tc>
        <w:tc>
          <w:tcPr>
            <w:tcW w:type="dxa" w:w="2376"/>
          </w:tcPr>
          <w:p>
            <w:pPr>
              <w:spacing w:after="20"/>
            </w:pPr>
            <w:r>
              <w:rPr>
                <w:sz w:val="16"/>
              </w:rPr>
            </w:r>
            <w:r>
              <w:rPr>
                <w:b/>
                <w:color w:val="1B3A6B"/>
                <w:sz w:val="16"/>
              </w:rPr>
              <w:t>Done (with limitation)</w:t>
            </w:r>
          </w:p>
        </w:tc>
        <w:tc>
          <w:tcPr>
            <w:tcW w:type="dxa" w:w="2376"/>
          </w:tcPr>
          <w:p>
            <w:pPr>
              <w:spacing w:after="20"/>
            </w:pPr>
            <w:r>
              <w:rPr>
                <w:sz w:val="16"/>
              </w:rPr>
            </w:r>
            <w:r>
              <w:rPr>
                <w:rFonts w:ascii="Courier New" w:hAnsi="Courier New"/>
                <w:color w:val="1B3A6B"/>
                <w:sz w:val="16"/>
              </w:rPr>
              <w:t>backend/services/approval_service.py</w:t>
            </w:r>
            <w:r>
              <w:rPr>
                <w:sz w:val="16"/>
              </w:rPr>
              <w:t xml:space="preserve">. High/Critical escalations pause into the queue; reviewer identity comes from the JWT, not the request body. </w:t>
            </w:r>
            <w:r>
              <w:rPr>
                <w:b/>
                <w:color w:val="1B3A6B"/>
                <w:sz w:val="16"/>
              </w:rPr>
              <w:t>Limitation:</w:t>
            </w:r>
            <w:r>
              <w:rPr>
                <w:sz w:val="16"/>
              </w:rPr>
              <w:t xml:space="preserve"> SLA expiry is evaluated lazily when the queue is read, not by a background scheduler - fine while the dashboard polls, a worker task is planned for production.</w:t>
            </w:r>
          </w:p>
        </w:tc>
      </w:tr>
      <w:tr>
        <w:tc>
          <w:tcPr>
            <w:tcW w:type="dxa" w:w="2376"/>
            <w:shd w:val="clear" w:fill="F7F9FC"/>
          </w:tcPr>
          <w:p>
            <w:pPr>
              <w:spacing w:after="20"/>
            </w:pPr>
            <w:r>
              <w:rPr>
                <w:sz w:val="16"/>
              </w:rPr>
            </w:r>
            <w:r>
              <w:rPr>
                <w:sz w:val="16"/>
              </w:rPr>
              <w:t>FR-06</w:t>
            </w:r>
          </w:p>
        </w:tc>
        <w:tc>
          <w:tcPr>
            <w:tcW w:type="dxa" w:w="2376"/>
            <w:shd w:val="clear" w:fill="F7F9FC"/>
          </w:tcPr>
          <w:p>
            <w:pPr>
              <w:spacing w:after="20"/>
            </w:pPr>
            <w:r>
              <w:rPr>
                <w:sz w:val="16"/>
              </w:rPr>
            </w:r>
            <w:r>
              <w:rPr>
                <w:sz w:val="16"/>
              </w:rPr>
              <w:t>Real-time governance dashboard (&lt;2s to surface events)</w:t>
            </w:r>
          </w:p>
        </w:tc>
        <w:tc>
          <w:tcPr>
            <w:tcW w:type="dxa" w:w="2376"/>
            <w:shd w:val="clear" w:fill="F7F9FC"/>
          </w:tcPr>
          <w:p>
            <w:pPr>
              <w:spacing w:after="20"/>
            </w:pPr>
            <w:r>
              <w:rPr>
                <w:sz w:val="16"/>
              </w:rPr>
            </w:r>
            <w:r>
              <w:rPr>
                <w:sz w:val="16"/>
              </w:rPr>
              <w:t>F</w:t>
            </w:r>
          </w:p>
        </w:tc>
        <w:tc>
          <w:tcPr>
            <w:tcW w:type="dxa" w:w="2376"/>
            <w:shd w:val="clear" w:fill="F7F9FC"/>
          </w:tcPr>
          <w:p>
            <w:pPr>
              <w:spacing w:after="20"/>
            </w:pPr>
            <w:r>
              <w:rPr>
                <w:sz w:val="16"/>
              </w:rPr>
            </w:r>
            <w:r>
              <w:rPr>
                <w:sz w:val="16"/>
              </w:rPr>
              <w:t>Must</w:t>
            </w:r>
          </w:p>
        </w:tc>
        <w:tc>
          <w:tcPr>
            <w:tcW w:type="dxa" w:w="2376"/>
            <w:shd w:val="clear" w:fill="F7F9FC"/>
          </w:tcPr>
          <w:p>
            <w:pPr>
              <w:spacing w:after="20"/>
            </w:pPr>
            <w:r>
              <w:rPr>
                <w:sz w:val="16"/>
              </w:rPr>
            </w:r>
            <w:r>
              <w:rPr>
                <w:b/>
                <w:color w:val="1B3A6B"/>
                <w:sz w:val="16"/>
              </w:rPr>
              <w:t>Done</w:t>
            </w:r>
          </w:p>
        </w:tc>
        <w:tc>
          <w:tcPr>
            <w:tcW w:type="dxa" w:w="2376"/>
            <w:shd w:val="clear" w:fill="F7F9FC"/>
          </w:tcPr>
          <w:p>
            <w:pPr>
              <w:spacing w:after="20"/>
            </w:pPr>
            <w:r>
              <w:rPr>
                <w:sz w:val="16"/>
              </w:rPr>
            </w:r>
            <w:r>
              <w:rPr>
                <w:sz w:val="16"/>
              </w:rPr>
              <w:t>WebSocket push (</w:t>
            </w:r>
            <w:r>
              <w:rPr>
                <w:rFonts w:ascii="Courier New" w:hAnsi="Courier New"/>
                <w:color w:val="1B3A6B"/>
                <w:sz w:val="16"/>
              </w:rPr>
              <w:t>/api/v1/ws/live</w:t>
            </w:r>
            <w:r>
              <w:rPr>
                <w:sz w:val="16"/>
              </w:rPr>
              <w:t>, JWT-authenticated) with a 10s polling fallback. Live feed, KPI tiles, risk donut, top violations. The dashboard socket now authenticates correctly (the deployed build was silently falling back to polling).</w:t>
            </w:r>
          </w:p>
        </w:tc>
      </w:tr>
      <w:tr>
        <w:tc>
          <w:tcPr>
            <w:tcW w:type="dxa" w:w="2376"/>
          </w:tcPr>
          <w:p>
            <w:pPr>
              <w:spacing w:after="20"/>
            </w:pPr>
            <w:r>
              <w:rPr>
                <w:sz w:val="16"/>
              </w:rPr>
            </w:r>
            <w:r>
              <w:rPr>
                <w:sz w:val="16"/>
              </w:rPr>
              <w:t>FR-07</w:t>
            </w:r>
          </w:p>
        </w:tc>
        <w:tc>
          <w:tcPr>
            <w:tcW w:type="dxa" w:w="2376"/>
          </w:tcPr>
          <w:p>
            <w:pPr>
              <w:spacing w:after="20"/>
            </w:pPr>
            <w:r>
              <w:rPr>
                <w:sz w:val="16"/>
              </w:rPr>
            </w:r>
            <w:r>
              <w:rPr>
                <w:sz w:val="16"/>
              </w:rPr>
              <w:t>Secure Azure deployment (CI/CD, Key Vault, TLS 1.3)</w:t>
            </w:r>
          </w:p>
        </w:tc>
        <w:tc>
          <w:tcPr>
            <w:tcW w:type="dxa" w:w="2376"/>
          </w:tcPr>
          <w:p>
            <w:pPr>
              <w:spacing w:after="20"/>
            </w:pPr>
            <w:r>
              <w:rPr>
                <w:sz w:val="16"/>
              </w:rPr>
            </w:r>
            <w:r>
              <w:rPr>
                <w:sz w:val="16"/>
              </w:rPr>
              <w:t>NF</w:t>
            </w:r>
          </w:p>
        </w:tc>
        <w:tc>
          <w:tcPr>
            <w:tcW w:type="dxa" w:w="2376"/>
          </w:tcPr>
          <w:p>
            <w:pPr>
              <w:spacing w:after="20"/>
            </w:pPr>
            <w:r>
              <w:rPr>
                <w:sz w:val="16"/>
              </w:rPr>
            </w:r>
            <w:r>
              <w:rPr>
                <w:sz w:val="16"/>
              </w:rPr>
              <w:t>Must</w:t>
            </w:r>
          </w:p>
        </w:tc>
        <w:tc>
          <w:tcPr>
            <w:tcW w:type="dxa" w:w="2376"/>
          </w:tcPr>
          <w:p>
            <w:pPr>
              <w:spacing w:after="20"/>
            </w:pPr>
            <w:r>
              <w:rPr>
                <w:sz w:val="16"/>
              </w:rPr>
            </w:r>
            <w:r>
              <w:rPr>
                <w:b/>
                <w:color w:val="1B3A6B"/>
                <w:sz w:val="16"/>
              </w:rPr>
              <w:t>Done (with limitation)</w:t>
            </w:r>
          </w:p>
        </w:tc>
        <w:tc>
          <w:tcPr>
            <w:tcW w:type="dxa" w:w="2376"/>
          </w:tcPr>
          <w:p>
            <w:pPr>
              <w:spacing w:after="20"/>
            </w:pPr>
            <w:r>
              <w:rPr>
                <w:sz w:val="16"/>
              </w:rPr>
            </w:r>
            <w:r>
              <w:rPr>
                <w:sz w:val="16"/>
              </w:rPr>
              <w:t xml:space="preserve">Live on an Azure VM in </w:t>
            </w:r>
            <w:r>
              <w:rPr>
                <w:rFonts w:ascii="Courier New" w:hAnsi="Courier New"/>
                <w:color w:val="1B3A6B"/>
                <w:sz w:val="16"/>
              </w:rPr>
              <w:t>australiaeast</w:t>
            </w:r>
            <w:r>
              <w:rPr>
                <w:sz w:val="16"/>
              </w:rPr>
              <w:t xml:space="preserve"> (Ubuntu 24.04, Standard_B2ls_v2), Docker Compose: Postgres 16 + Redis 7 + a single app image that serves the API and the built frontend. Deploy is </w:t>
            </w:r>
            <w:r>
              <w:rPr>
                <w:rFonts w:ascii="Courier New" w:hAnsi="Courier New"/>
                <w:color w:val="1B3A6B"/>
                <w:sz w:val="16"/>
              </w:rPr>
              <w:t>infra/scripts/deploy-vm.sh</w:t>
            </w:r>
            <w:r>
              <w:rPr>
                <w:sz w:val="16"/>
              </w:rPr>
              <w:t xml:space="preserve">, triggered over SSH by </w:t>
            </w:r>
            <w:r>
              <w:rPr>
                <w:rFonts w:ascii="Courier New" w:hAnsi="Courier New"/>
                <w:color w:val="1B3A6B"/>
                <w:sz w:val="16"/>
              </w:rPr>
              <w:t>.github/workflows/deploy.yml</w:t>
            </w:r>
            <w:r>
              <w:rPr>
                <w:sz w:val="16"/>
              </w:rPr>
              <w:t xml:space="preserve">; the CI key is pinned to a forced command so it can only run that script. CI runs on every push and is green. Runbook: </w:t>
            </w:r>
            <w:r>
              <w:rPr>
                <w:rFonts w:ascii="Courier New" w:hAnsi="Courier New"/>
                <w:color w:val="1B3A6B"/>
                <w:sz w:val="16"/>
              </w:rPr>
              <w:t>docs/azure-deployment.md</w:t>
            </w:r>
            <w:r>
              <w:rPr>
                <w:sz w:val="16"/>
              </w:rPr>
              <w:t xml:space="preserve">. </w:t>
            </w:r>
            <w:r>
              <w:rPr>
                <w:b/>
                <w:color w:val="1B3A6B"/>
                <w:sz w:val="16"/>
              </w:rPr>
              <w:t>Limitation:</w:t>
            </w:r>
            <w:r>
              <w:rPr>
                <w:sz w:val="16"/>
              </w:rPr>
              <w:t xml:space="preserve"> App Service and Key Vault were dropped in favour of a plain VM (cheaper against student credit, and it hosts the governed agent alongside the platform). Secrets are environment variables in a chmod-600 </w:t>
            </w:r>
            <w:r>
              <w:rPr>
                <w:rFonts w:ascii="Courier New" w:hAnsi="Courier New"/>
                <w:color w:val="1B3A6B"/>
                <w:sz w:val="16"/>
              </w:rPr>
              <w:t>.env</w:t>
            </w:r>
            <w:r>
              <w:rPr>
                <w:sz w:val="16"/>
              </w:rPr>
              <w:t>, so a secret manager remains a config change rather than a code change. TLS 1.3 is implemented via Caddy (see infra/caddy/Caddyfile).</w:t>
            </w:r>
          </w:p>
        </w:tc>
      </w:tr>
      <w:tr>
        <w:tc>
          <w:tcPr>
            <w:tcW w:type="dxa" w:w="2376"/>
            <w:shd w:val="clear" w:fill="F7F9FC"/>
          </w:tcPr>
          <w:p>
            <w:pPr>
              <w:spacing w:after="20"/>
            </w:pPr>
            <w:r>
              <w:rPr>
                <w:sz w:val="16"/>
              </w:rPr>
            </w:r>
            <w:r>
              <w:rPr>
                <w:sz w:val="16"/>
              </w:rPr>
              <w:t>FR-08</w:t>
            </w:r>
          </w:p>
        </w:tc>
        <w:tc>
          <w:tcPr>
            <w:tcW w:type="dxa" w:w="2376"/>
            <w:shd w:val="clear" w:fill="F7F9FC"/>
          </w:tcPr>
          <w:p>
            <w:pPr>
              <w:spacing w:after="20"/>
            </w:pPr>
            <w:r>
              <w:rPr>
                <w:sz w:val="16"/>
              </w:rPr>
            </w:r>
            <w:r>
              <w:rPr>
                <w:sz w:val="16"/>
              </w:rPr>
              <w:t>Semantic guardrails (prompt-injection detection)</w:t>
            </w:r>
          </w:p>
        </w:tc>
        <w:tc>
          <w:tcPr>
            <w:tcW w:type="dxa" w:w="2376"/>
            <w:shd w:val="clear" w:fill="F7F9FC"/>
          </w:tcPr>
          <w:p>
            <w:pPr>
              <w:spacing w:after="20"/>
            </w:pPr>
            <w:r>
              <w:rPr>
                <w:sz w:val="16"/>
              </w:rPr>
            </w:r>
            <w:r>
              <w:rPr>
                <w:sz w:val="16"/>
              </w:rPr>
              <w:t>F</w:t>
            </w:r>
          </w:p>
        </w:tc>
        <w:tc>
          <w:tcPr>
            <w:tcW w:type="dxa" w:w="2376"/>
            <w:shd w:val="clear" w:fill="F7F9FC"/>
          </w:tcPr>
          <w:p>
            <w:pPr>
              <w:spacing w:after="20"/>
            </w:pPr>
            <w:r>
              <w:rPr>
                <w:sz w:val="16"/>
              </w:rPr>
            </w:r>
            <w:r>
              <w:rPr>
                <w:sz w:val="16"/>
              </w:rPr>
              <w:t>Should</w:t>
            </w:r>
          </w:p>
        </w:tc>
        <w:tc>
          <w:tcPr>
            <w:tcW w:type="dxa" w:w="2376"/>
            <w:shd w:val="clear" w:fill="F7F9FC"/>
          </w:tcPr>
          <w:p>
            <w:pPr>
              <w:spacing w:after="20"/>
            </w:pPr>
            <w:r>
              <w:rPr>
                <w:sz w:val="16"/>
              </w:rPr>
            </w:r>
            <w:r>
              <w:rPr>
                <w:b/>
                <w:color w:val="1B3A6B"/>
                <w:sz w:val="16"/>
              </w:rPr>
              <w:t>Done</w:t>
            </w:r>
          </w:p>
        </w:tc>
        <w:tc>
          <w:tcPr>
            <w:tcW w:type="dxa" w:w="2376"/>
            <w:shd w:val="clear" w:fill="F7F9FC"/>
          </w:tcPr>
          <w:p>
            <w:pPr>
              <w:spacing w:after="20"/>
            </w:pPr>
            <w:r>
              <w:rPr>
                <w:sz w:val="16"/>
              </w:rPr>
            </w:r>
            <w:r>
              <w:rPr>
                <w:rFonts w:ascii="Courier New" w:hAnsi="Courier New"/>
                <w:color w:val="1B3A6B"/>
                <w:sz w:val="16"/>
              </w:rPr>
              <w:t>backend/services/semantic_guard.py</w:t>
            </w:r>
            <w:r>
              <w:rPr>
                <w:sz w:val="16"/>
              </w:rPr>
              <w:t xml:space="preserve">, wired into </w:t>
            </w:r>
            <w:r>
              <w:rPr>
                <w:rFonts w:ascii="Courier New" w:hAnsi="Courier New"/>
                <w:color w:val="1B3A6B"/>
                <w:sz w:val="16"/>
              </w:rPr>
              <w:t>/intercept</w:t>
            </w:r>
            <w:r>
              <w:rPr>
                <w:sz w:val="16"/>
              </w:rPr>
              <w:t xml:space="preserve"> and exposed at </w:t>
            </w:r>
            <w:r>
              <w:rPr>
                <w:rFonts w:ascii="Courier New" w:hAnsi="Courier New"/>
                <w:color w:val="1B3A6B"/>
                <w:sz w:val="16"/>
              </w:rPr>
              <w:t>/guardrails/check</w:t>
            </w:r>
            <w:r>
              <w:rPr>
                <w:sz w:val="16"/>
              </w:rPr>
              <w:t>. Blocks instruction-override and exfiltration patterns.</w:t>
            </w:r>
          </w:p>
        </w:tc>
      </w:tr>
      <w:tr>
        <w:tc>
          <w:tcPr>
            <w:tcW w:type="dxa" w:w="2376"/>
          </w:tcPr>
          <w:p>
            <w:pPr>
              <w:spacing w:after="20"/>
            </w:pPr>
            <w:r>
              <w:rPr>
                <w:sz w:val="16"/>
              </w:rPr>
            </w:r>
            <w:r>
              <w:rPr>
                <w:sz w:val="16"/>
              </w:rPr>
              <w:t>FR-09</w:t>
            </w:r>
          </w:p>
        </w:tc>
        <w:tc>
          <w:tcPr>
            <w:tcW w:type="dxa" w:w="2376"/>
          </w:tcPr>
          <w:p>
            <w:pPr>
              <w:spacing w:after="20"/>
            </w:pPr>
            <w:r>
              <w:rPr>
                <w:sz w:val="16"/>
              </w:rPr>
            </w:r>
            <w:r>
              <w:rPr>
                <w:sz w:val="16"/>
              </w:rPr>
              <w:t>Risk classification engine (Low/Med/High/Critical)</w:t>
            </w:r>
          </w:p>
        </w:tc>
        <w:tc>
          <w:tcPr>
            <w:tcW w:type="dxa" w:w="2376"/>
          </w:tcPr>
          <w:p>
            <w:pPr>
              <w:spacing w:after="20"/>
            </w:pPr>
            <w:r>
              <w:rPr>
                <w:sz w:val="16"/>
              </w:rPr>
            </w:r>
            <w:r>
              <w:rPr>
                <w:sz w:val="16"/>
              </w:rPr>
              <w:t>F</w:t>
            </w:r>
          </w:p>
        </w:tc>
        <w:tc>
          <w:tcPr>
            <w:tcW w:type="dxa" w:w="2376"/>
          </w:tcPr>
          <w:p>
            <w:pPr>
              <w:spacing w:after="20"/>
            </w:pPr>
            <w:r>
              <w:rPr>
                <w:sz w:val="16"/>
              </w:rPr>
            </w:r>
            <w:r>
              <w:rPr>
                <w:sz w:val="16"/>
              </w:rPr>
              <w:t>Should</w:t>
            </w:r>
          </w:p>
        </w:tc>
        <w:tc>
          <w:tcPr>
            <w:tcW w:type="dxa" w:w="2376"/>
          </w:tcPr>
          <w:p>
            <w:pPr>
              <w:spacing w:after="20"/>
            </w:pPr>
            <w:r>
              <w:rPr>
                <w:sz w:val="16"/>
              </w:rPr>
            </w:r>
            <w:r>
              <w:rPr>
                <w:b/>
                <w:color w:val="1B3A6B"/>
                <w:sz w:val="16"/>
              </w:rPr>
              <w:t>Done</w:t>
            </w:r>
          </w:p>
        </w:tc>
        <w:tc>
          <w:tcPr>
            <w:tcW w:type="dxa" w:w="2376"/>
          </w:tcPr>
          <w:p>
            <w:pPr>
              <w:spacing w:after="20"/>
            </w:pPr>
            <w:r>
              <w:rPr>
                <w:sz w:val="16"/>
              </w:rPr>
            </w:r>
            <w:r>
              <w:rPr>
                <w:rFonts w:ascii="Courier New" w:hAnsi="Courier New"/>
                <w:color w:val="1B3A6B"/>
                <w:sz w:val="16"/>
              </w:rPr>
              <w:t>backend/services/risk_classifier.py</w:t>
            </w:r>
            <w:r>
              <w:rPr>
                <w:sz w:val="16"/>
              </w:rPr>
              <w:t xml:space="preserve">, </w:t>
            </w:r>
            <w:r>
              <w:rPr>
                <w:rFonts w:ascii="Courier New" w:hAnsi="Courier New"/>
                <w:color w:val="1B3A6B"/>
                <w:sz w:val="16"/>
              </w:rPr>
              <w:t>/api/v1/risk/classify</w:t>
            </w:r>
            <w:r>
              <w:rPr>
                <w:sz w:val="16"/>
              </w:rPr>
              <w:t>. High/Critical feeds FR-05 escalation.</w:t>
            </w:r>
          </w:p>
        </w:tc>
      </w:tr>
      <w:tr>
        <w:tc>
          <w:tcPr>
            <w:tcW w:type="dxa" w:w="2376"/>
            <w:shd w:val="clear" w:fill="F7F9FC"/>
          </w:tcPr>
          <w:p>
            <w:pPr>
              <w:spacing w:after="20"/>
            </w:pPr>
            <w:r>
              <w:rPr>
                <w:sz w:val="16"/>
              </w:rPr>
            </w:r>
            <w:r>
              <w:rPr>
                <w:sz w:val="16"/>
              </w:rPr>
              <w:t>FR-10</w:t>
            </w:r>
          </w:p>
        </w:tc>
        <w:tc>
          <w:tcPr>
            <w:tcW w:type="dxa" w:w="2376"/>
            <w:shd w:val="clear" w:fill="F7F9FC"/>
          </w:tcPr>
          <w:p>
            <w:pPr>
              <w:spacing w:after="20"/>
            </w:pPr>
            <w:r>
              <w:rPr>
                <w:sz w:val="16"/>
              </w:rPr>
            </w:r>
            <w:r>
              <w:rPr>
                <w:sz w:val="16"/>
              </w:rPr>
              <w:t>Policy rule library (5+ pre-built regulated-industry rules)</w:t>
            </w:r>
          </w:p>
        </w:tc>
        <w:tc>
          <w:tcPr>
            <w:tcW w:type="dxa" w:w="2376"/>
            <w:shd w:val="clear" w:fill="F7F9FC"/>
          </w:tcPr>
          <w:p>
            <w:pPr>
              <w:spacing w:after="20"/>
            </w:pPr>
            <w:r>
              <w:rPr>
                <w:sz w:val="16"/>
              </w:rPr>
            </w:r>
            <w:r>
              <w:rPr>
                <w:sz w:val="16"/>
              </w:rPr>
              <w:t>F</w:t>
            </w:r>
          </w:p>
        </w:tc>
        <w:tc>
          <w:tcPr>
            <w:tcW w:type="dxa" w:w="2376"/>
            <w:shd w:val="clear" w:fill="F7F9FC"/>
          </w:tcPr>
          <w:p>
            <w:pPr>
              <w:spacing w:after="20"/>
            </w:pPr>
            <w:r>
              <w:rPr>
                <w:sz w:val="16"/>
              </w:rPr>
            </w:r>
            <w:r>
              <w:rPr>
                <w:sz w:val="16"/>
              </w:rPr>
              <w:t>Should</w:t>
            </w:r>
          </w:p>
        </w:tc>
        <w:tc>
          <w:tcPr>
            <w:tcW w:type="dxa" w:w="2376"/>
            <w:shd w:val="clear" w:fill="F7F9FC"/>
          </w:tcPr>
          <w:p>
            <w:pPr>
              <w:spacing w:after="20"/>
            </w:pPr>
            <w:r>
              <w:rPr>
                <w:sz w:val="16"/>
              </w:rPr>
            </w:r>
            <w:r>
              <w:rPr>
                <w:b/>
                <w:color w:val="1B3A6B"/>
                <w:sz w:val="16"/>
              </w:rPr>
              <w:t>Done (exceeds)</w:t>
            </w:r>
          </w:p>
        </w:tc>
        <w:tc>
          <w:tcPr>
            <w:tcW w:type="dxa" w:w="2376"/>
            <w:shd w:val="clear" w:fill="F7F9FC"/>
          </w:tcPr>
          <w:p>
            <w:pPr>
              <w:spacing w:after="20"/>
            </w:pPr>
            <w:r>
              <w:rPr>
                <w:sz w:val="16"/>
              </w:rPr>
            </w:r>
            <w:r>
              <w:rPr>
                <w:sz w:val="16"/>
              </w:rPr>
              <w:t xml:space="preserve">10 rules in </w:t>
            </w:r>
            <w:r>
              <w:rPr>
                <w:rFonts w:ascii="Courier New" w:hAnsi="Courier New"/>
                <w:color w:val="1B3A6B"/>
                <w:sz w:val="16"/>
              </w:rPr>
              <w:t>backend/rule_library.yaml</w:t>
            </w:r>
            <w:r>
              <w:rPr>
                <w:sz w:val="16"/>
              </w:rPr>
              <w:t xml:space="preserve">, each tagged with its regulatory alignment (Privacy Act 1988, My Health Records Act, APRA CPS 234, ...). Import via </w:t>
            </w:r>
            <w:r>
              <w:rPr>
                <w:rFonts w:ascii="Courier New" w:hAnsi="Courier New"/>
                <w:color w:val="1B3A6B"/>
                <w:sz w:val="16"/>
              </w:rPr>
              <w:t>/api/v1/policies/library</w:t>
            </w:r>
            <w:r>
              <w:rPr>
                <w:sz w:val="16"/>
              </w:rPr>
              <w:t>.</w:t>
            </w:r>
          </w:p>
        </w:tc>
      </w:tr>
      <w:tr>
        <w:tc>
          <w:tcPr>
            <w:tcW w:type="dxa" w:w="2376"/>
          </w:tcPr>
          <w:p>
            <w:pPr>
              <w:spacing w:after="20"/>
            </w:pPr>
            <w:r>
              <w:rPr>
                <w:sz w:val="16"/>
              </w:rPr>
            </w:r>
            <w:r>
              <w:rPr>
                <w:sz w:val="16"/>
              </w:rPr>
              <w:t>FR-11</w:t>
            </w:r>
          </w:p>
        </w:tc>
        <w:tc>
          <w:tcPr>
            <w:tcW w:type="dxa" w:w="2376"/>
          </w:tcPr>
          <w:p>
            <w:pPr>
              <w:spacing w:after="20"/>
            </w:pPr>
            <w:r>
              <w:rPr>
                <w:sz w:val="16"/>
              </w:rPr>
            </w:r>
            <w:r>
              <w:rPr>
                <w:sz w:val="16"/>
              </w:rPr>
              <w:t>Group 2 integration demonstration (GP office agent)</w:t>
            </w:r>
          </w:p>
        </w:tc>
        <w:tc>
          <w:tcPr>
            <w:tcW w:type="dxa" w:w="2376"/>
          </w:tcPr>
          <w:p>
            <w:pPr>
              <w:spacing w:after="20"/>
            </w:pPr>
            <w:r>
              <w:rPr>
                <w:sz w:val="16"/>
              </w:rPr>
            </w:r>
            <w:r>
              <w:rPr>
                <w:sz w:val="16"/>
              </w:rPr>
              <w:t>F</w:t>
            </w:r>
          </w:p>
        </w:tc>
        <w:tc>
          <w:tcPr>
            <w:tcW w:type="dxa" w:w="2376"/>
          </w:tcPr>
          <w:p>
            <w:pPr>
              <w:spacing w:after="20"/>
            </w:pPr>
            <w:r>
              <w:rPr>
                <w:sz w:val="16"/>
              </w:rPr>
            </w:r>
            <w:r>
              <w:rPr>
                <w:sz w:val="16"/>
              </w:rPr>
              <w:t>Should</w:t>
            </w:r>
          </w:p>
        </w:tc>
        <w:tc>
          <w:tcPr>
            <w:tcW w:type="dxa" w:w="2376"/>
          </w:tcPr>
          <w:p>
            <w:pPr>
              <w:spacing w:after="20"/>
            </w:pPr>
            <w:r>
              <w:rPr>
                <w:sz w:val="16"/>
              </w:rPr>
            </w:r>
            <w:r>
              <w:rPr>
                <w:b/>
                <w:color w:val="1B3A6B"/>
                <w:sz w:val="16"/>
              </w:rPr>
              <w:t>Blocked (external)</w:t>
            </w:r>
          </w:p>
        </w:tc>
        <w:tc>
          <w:tcPr>
            <w:tcW w:type="dxa" w:w="2376"/>
          </w:tcPr>
          <w:p>
            <w:pPr>
              <w:spacing w:after="20"/>
            </w:pPr>
            <w:r>
              <w:rPr>
                <w:sz w:val="16"/>
              </w:rPr>
            </w:r>
            <w:r>
              <w:rPr>
                <w:sz w:val="16"/>
              </w:rPr>
              <w:t>Waiting on Group 2's agent API contract. The repeatable healthcare scenario (</w:t>
            </w:r>
            <w:r>
              <w:rPr>
                <w:rFonts w:ascii="Courier New" w:hAnsi="Courier New"/>
                <w:color w:val="1B3A6B"/>
                <w:sz w:val="16"/>
              </w:rPr>
              <w:t>POST /api/v1/demo/healthcare-scenario</w:t>
            </w:r>
            <w:r>
              <w:rPr>
                <w:sz w:val="16"/>
              </w:rPr>
              <w:t xml:space="preserve">) demonstrates the same end-to-end flow against simulated GP-office actions in the meantime. Each of its five steps now goes through the same </w:t>
            </w:r>
            <w:r>
              <w:rPr>
                <w:rFonts w:ascii="Courier New" w:hAnsi="Courier New"/>
                <w:color w:val="1B3A6B"/>
                <w:sz w:val="16"/>
              </w:rPr>
              <w:t>intercept_action()</w:t>
            </w:r>
            <w:r>
              <w:rPr>
                <w:sz w:val="16"/>
              </w:rPr>
              <w:t xml:space="preserve"> the agents call, so the outcomes come from the policy engine and semantic guard - it previously wrote hardcoded outcomes straight to the audit log, which would have produced the same five results with the engine deleted. The response returns expected vs actual per step.</w:t>
            </w:r>
          </w:p>
        </w:tc>
      </w:tr>
    </w:tbl>
    <w:p/>
    <w:p>
      <w:pPr>
        <w:spacing w:before="280"/>
      </w:pPr>
      <w:r>
        <w:rPr>
          <w:b/>
          <w:color w:val="1B3A6B"/>
          <w:sz w:val="26"/>
        </w:rPr>
        <w:t>Build order and dependencies</w:t>
      </w:r>
    </w:p>
    <w:p>
      <w:pPr>
        <w:spacing w:after="120"/>
      </w:pPr>
      <w:r>
        <w:t>Nothing here was picked for convenience. Each requirement below could not</w:t>
      </w:r>
    </w:p>
    <w:p>
      <w:pPr>
        <w:spacing w:after="120"/>
      </w:pPr>
      <w:r>
        <w:t>start until the one above it existed, which is why the Must set closed before</w:t>
      </w:r>
    </w:p>
    <w:p>
      <w:pPr>
        <w:spacing w:after="120"/>
      </w:pPr>
      <w:r>
        <w:t>any of the Should set opened.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val="clear" w:fill="1B3A6B"/>
          </w:tcPr>
          <w:p>
            <w:r/>
            <w:r>
              <w:rPr>
                <w:b/>
                <w:color w:val="FFFFFF"/>
                <w:sz w:val="15"/>
              </w:rPr>
              <w:t>ORDER</w:t>
            </w:r>
          </w:p>
        </w:tc>
        <w:tc>
          <w:tcPr>
            <w:tcW w:type="dxa" w:w="3564"/>
            <w:shd w:val="clear" w:fill="1B3A6B"/>
          </w:tcPr>
          <w:p>
            <w:r/>
            <w:r>
              <w:rPr>
                <w:b/>
                <w:color w:val="FFFFFF"/>
                <w:sz w:val="15"/>
              </w:rPr>
              <w:t>REQUIREMENT</w:t>
            </w:r>
          </w:p>
        </w:tc>
        <w:tc>
          <w:tcPr>
            <w:tcW w:type="dxa" w:w="3564"/>
            <w:shd w:val="clear" w:fill="1B3A6B"/>
          </w:tcPr>
          <w:p>
            <w:r/>
            <w:r>
              <w:rPr>
                <w:b/>
                <w:color w:val="FFFFFF"/>
                <w:sz w:val="15"/>
              </w:rPr>
              <w:t>DEPENDS ON</w:t>
            </w:r>
          </w:p>
        </w:tc>
        <w:tc>
          <w:tcPr>
            <w:tcW w:type="dxa" w:w="3564"/>
            <w:shd w:val="clear" w:fill="1B3A6B"/>
          </w:tcPr>
          <w:p>
            <w:r/>
            <w:r>
              <w:rPr>
                <w:b/>
                <w:color w:val="FFFFFF"/>
                <w:sz w:val="15"/>
              </w:rPr>
              <w:t>WHY IT CANNOT COME EARLIER</w:t>
            </w:r>
          </w:p>
        </w:tc>
      </w:tr>
      <w:tr>
        <w:tc>
          <w:tcPr>
            <w:tcW w:type="dxa" w:w="3564"/>
          </w:tcPr>
          <w:p>
            <w:pPr>
              <w:spacing w:after="20"/>
            </w:pPr>
            <w:r>
              <w:rPr>
                <w:sz w:val="16"/>
              </w:rPr>
            </w:r>
            <w:r>
              <w:rPr>
                <w:sz w:val="16"/>
              </w:rPr>
              <w:t>1</w:t>
            </w:r>
          </w:p>
        </w:tc>
        <w:tc>
          <w:tcPr>
            <w:tcW w:type="dxa" w:w="3564"/>
          </w:tcPr>
          <w:p>
            <w:pPr>
              <w:spacing w:after="20"/>
            </w:pPr>
            <w:r>
              <w:rPr>
                <w:sz w:val="16"/>
              </w:rPr>
            </w:r>
            <w:r>
              <w:rPr>
                <w:sz w:val="16"/>
              </w:rPr>
              <w:t>FR-02 policy engine</w:t>
            </w:r>
          </w:p>
        </w:tc>
        <w:tc>
          <w:tcPr>
            <w:tcW w:type="dxa" w:w="3564"/>
          </w:tcPr>
          <w:p>
            <w:pPr>
              <w:spacing w:after="20"/>
            </w:pPr>
            <w:r>
              <w:rPr>
                <w:sz w:val="16"/>
              </w:rPr>
            </w:r>
            <w:r>
              <w:rPr>
                <w:sz w:val="16"/>
              </w:rPr>
              <w:t>none</w:t>
            </w:r>
          </w:p>
        </w:tc>
        <w:tc>
          <w:tcPr>
            <w:tcW w:type="dxa" w:w="3564"/>
          </w:tcPr>
          <w:p>
            <w:pPr>
              <w:spacing w:after="20"/>
            </w:pPr>
            <w:r>
              <w:rPr>
                <w:sz w:val="16"/>
              </w:rPr>
            </w:r>
            <w:r>
              <w:rPr>
                <w:sz w:val="16"/>
              </w:rPr>
              <w:t>Every other decision path needs something to ask. Built first against direct calls, no HTTP.</w:t>
            </w:r>
          </w:p>
        </w:tc>
      </w:tr>
      <w:tr>
        <w:tc>
          <w:tcPr>
            <w:tcW w:type="dxa" w:w="3564"/>
            <w:shd w:val="clear" w:fill="F7F9FC"/>
          </w:tcPr>
          <w:p>
            <w:pPr>
              <w:spacing w:after="20"/>
            </w:pPr>
            <w:r>
              <w:rPr>
                <w:sz w:val="16"/>
              </w:rPr>
            </w:r>
            <w:r>
              <w:rPr>
                <w:sz w:val="16"/>
              </w:rPr>
              <w:t>2</w:t>
            </w:r>
          </w:p>
        </w:tc>
        <w:tc>
          <w:tcPr>
            <w:tcW w:type="dxa" w:w="3564"/>
            <w:shd w:val="clear" w:fill="F7F9FC"/>
          </w:tcPr>
          <w:p>
            <w:pPr>
              <w:spacing w:after="20"/>
            </w:pPr>
            <w:r>
              <w:rPr>
                <w:sz w:val="16"/>
              </w:rPr>
            </w:r>
            <w:r>
              <w:rPr>
                <w:sz w:val="16"/>
              </w:rPr>
              <w:t>FR-03 audit chain</w:t>
            </w:r>
          </w:p>
        </w:tc>
        <w:tc>
          <w:tcPr>
            <w:tcW w:type="dxa" w:w="3564"/>
            <w:shd w:val="clear" w:fill="F7F9FC"/>
          </w:tcPr>
          <w:p>
            <w:pPr>
              <w:spacing w:after="20"/>
            </w:pPr>
            <w:r>
              <w:rPr>
                <w:sz w:val="16"/>
              </w:rPr>
            </w:r>
            <w:r>
              <w:rPr>
                <w:sz w:val="16"/>
              </w:rPr>
              <w:t>FR-02</w:t>
            </w:r>
          </w:p>
        </w:tc>
        <w:tc>
          <w:tcPr>
            <w:tcW w:type="dxa" w:w="3564"/>
            <w:shd w:val="clear" w:fill="F7F9FC"/>
          </w:tcPr>
          <w:p>
            <w:pPr>
              <w:spacing w:after="20"/>
            </w:pPr>
            <w:r>
              <w:rPr>
                <w:sz w:val="16"/>
              </w:rPr>
            </w:r>
            <w:r>
              <w:rPr>
                <w:sz w:val="16"/>
              </w:rPr>
              <w:t>There is nothing worth chaining until a decision exists to record.</w:t>
            </w:r>
          </w:p>
        </w:tc>
      </w:tr>
      <w:tr>
        <w:tc>
          <w:tcPr>
            <w:tcW w:type="dxa" w:w="3564"/>
          </w:tcPr>
          <w:p>
            <w:pPr>
              <w:spacing w:after="20"/>
            </w:pPr>
            <w:r>
              <w:rPr>
                <w:sz w:val="16"/>
              </w:rPr>
            </w:r>
            <w:r>
              <w:rPr>
                <w:sz w:val="16"/>
              </w:rPr>
              <w:t>3</w:t>
            </w:r>
          </w:p>
        </w:tc>
        <w:tc>
          <w:tcPr>
            <w:tcW w:type="dxa" w:w="3564"/>
          </w:tcPr>
          <w:p>
            <w:pPr>
              <w:spacing w:after="20"/>
            </w:pPr>
            <w:r>
              <w:rPr>
                <w:sz w:val="16"/>
              </w:rPr>
            </w:r>
            <w:r>
              <w:rPr>
                <w:sz w:val="16"/>
              </w:rPr>
              <w:t>FR-01 interception endpoint</w:t>
            </w:r>
          </w:p>
        </w:tc>
        <w:tc>
          <w:tcPr>
            <w:tcW w:type="dxa" w:w="3564"/>
          </w:tcPr>
          <w:p>
            <w:pPr>
              <w:spacing w:after="20"/>
            </w:pPr>
            <w:r>
              <w:rPr>
                <w:sz w:val="16"/>
              </w:rPr>
            </w:r>
            <w:r>
              <w:rPr>
                <w:sz w:val="16"/>
              </w:rPr>
              <w:t>FR-02, FR-03</w:t>
            </w:r>
          </w:p>
        </w:tc>
        <w:tc>
          <w:tcPr>
            <w:tcW w:type="dxa" w:w="3564"/>
          </w:tcPr>
          <w:p>
            <w:pPr>
              <w:spacing w:after="20"/>
            </w:pPr>
            <w:r>
              <w:rPr>
                <w:sz w:val="16"/>
              </w:rPr>
            </w:r>
            <w:r>
              <w:rPr>
                <w:sz w:val="16"/>
              </w:rPr>
              <w:t>The endpoint is the seam that joins them. It cannot fail closed until there is an engine to fail and a log to record the failure in.</w:t>
            </w:r>
          </w:p>
        </w:tc>
      </w:tr>
      <w:tr>
        <w:tc>
          <w:tcPr>
            <w:tcW w:type="dxa" w:w="3564"/>
            <w:shd w:val="clear" w:fill="F7F9FC"/>
          </w:tcPr>
          <w:p>
            <w:pPr>
              <w:spacing w:after="20"/>
            </w:pPr>
            <w:r>
              <w:rPr>
                <w:sz w:val="16"/>
              </w:rPr>
            </w:r>
            <w:r>
              <w:rPr>
                <w:sz w:val="16"/>
              </w:rPr>
              <w:t>4</w:t>
            </w:r>
          </w:p>
        </w:tc>
        <w:tc>
          <w:tcPr>
            <w:tcW w:type="dxa" w:w="3564"/>
            <w:shd w:val="clear" w:fill="F7F9FC"/>
          </w:tcPr>
          <w:p>
            <w:pPr>
              <w:spacing w:after="20"/>
            </w:pPr>
            <w:r>
              <w:rPr>
                <w:sz w:val="16"/>
              </w:rPr>
            </w:r>
            <w:r>
              <w:rPr>
                <w:sz w:val="16"/>
              </w:rPr>
              <w:t>FR-04 RBAC</w:t>
            </w:r>
          </w:p>
        </w:tc>
        <w:tc>
          <w:tcPr>
            <w:tcW w:type="dxa" w:w="3564"/>
            <w:shd w:val="clear" w:fill="F7F9FC"/>
          </w:tcPr>
          <w:p>
            <w:pPr>
              <w:spacing w:after="20"/>
            </w:pPr>
            <w:r>
              <w:rPr>
                <w:sz w:val="16"/>
              </w:rPr>
            </w:r>
            <w:r>
              <w:rPr>
                <w:sz w:val="16"/>
              </w:rPr>
              <w:t>FR-01</w:t>
            </w:r>
          </w:p>
        </w:tc>
        <w:tc>
          <w:tcPr>
            <w:tcW w:type="dxa" w:w="3564"/>
            <w:shd w:val="clear" w:fill="F7F9FC"/>
          </w:tcPr>
          <w:p>
            <w:pPr>
              <w:spacing w:after="20"/>
            </w:pPr>
            <w:r>
              <w:rPr>
                <w:sz w:val="16"/>
              </w:rPr>
            </w:r>
            <w:r>
              <w:rPr>
                <w:sz w:val="16"/>
              </w:rPr>
              <w:t xml:space="preserve">Roles are defined per endpoint, so the endpoints have to exist. Agent callers forced the </w:t>
            </w:r>
            <w:r>
              <w:rPr>
                <w:rFonts w:ascii="Courier New" w:hAnsi="Courier New"/>
                <w:color w:val="1B3A6B"/>
                <w:sz w:val="16"/>
              </w:rPr>
              <w:t>X-API-Key</w:t>
            </w:r>
            <w:r>
              <w:rPr>
                <w:sz w:val="16"/>
              </w:rPr>
              <w:t xml:space="preserve"> split at this point.</w:t>
            </w:r>
          </w:p>
        </w:tc>
      </w:tr>
      <w:tr>
        <w:tc>
          <w:tcPr>
            <w:tcW w:type="dxa" w:w="3564"/>
          </w:tcPr>
          <w:p>
            <w:pPr>
              <w:spacing w:after="20"/>
            </w:pPr>
            <w:r>
              <w:rPr>
                <w:sz w:val="16"/>
              </w:rPr>
            </w:r>
            <w:r>
              <w:rPr>
                <w:sz w:val="16"/>
              </w:rPr>
              <w:t>5</w:t>
            </w:r>
          </w:p>
        </w:tc>
        <w:tc>
          <w:tcPr>
            <w:tcW w:type="dxa" w:w="3564"/>
          </w:tcPr>
          <w:p>
            <w:pPr>
              <w:spacing w:after="20"/>
            </w:pPr>
            <w:r>
              <w:rPr>
                <w:sz w:val="16"/>
              </w:rPr>
            </w:r>
            <w:r>
              <w:rPr>
                <w:sz w:val="16"/>
              </w:rPr>
              <w:t>FR-09 risk classification</w:t>
            </w:r>
          </w:p>
        </w:tc>
        <w:tc>
          <w:tcPr>
            <w:tcW w:type="dxa" w:w="3564"/>
          </w:tcPr>
          <w:p>
            <w:pPr>
              <w:spacing w:after="20"/>
            </w:pPr>
            <w:r>
              <w:rPr>
                <w:sz w:val="16"/>
              </w:rPr>
            </w:r>
            <w:r>
              <w:rPr>
                <w:sz w:val="16"/>
              </w:rPr>
              <w:t>FR-02</w:t>
            </w:r>
          </w:p>
        </w:tc>
        <w:tc>
          <w:tcPr>
            <w:tcW w:type="dxa" w:w="3564"/>
          </w:tcPr>
          <w:p>
            <w:pPr>
              <w:spacing w:after="20"/>
            </w:pPr>
            <w:r>
              <w:rPr>
                <w:sz w:val="16"/>
              </w:rPr>
            </w:r>
            <w:r>
              <w:rPr>
                <w:sz w:val="16"/>
              </w:rPr>
              <w:t>Feeds the risk level that FR-05 escalates on.</w:t>
            </w:r>
          </w:p>
        </w:tc>
      </w:tr>
      <w:tr>
        <w:tc>
          <w:tcPr>
            <w:tcW w:type="dxa" w:w="3564"/>
            <w:shd w:val="clear" w:fill="F7F9FC"/>
          </w:tcPr>
          <w:p>
            <w:pPr>
              <w:spacing w:after="20"/>
            </w:pPr>
            <w:r>
              <w:rPr>
                <w:sz w:val="16"/>
              </w:rPr>
            </w:r>
            <w:r>
              <w:rPr>
                <w:sz w:val="16"/>
              </w:rPr>
              <w:t>6</w:t>
            </w:r>
          </w:p>
        </w:tc>
        <w:tc>
          <w:tcPr>
            <w:tcW w:type="dxa" w:w="3564"/>
            <w:shd w:val="clear" w:fill="F7F9FC"/>
          </w:tcPr>
          <w:p>
            <w:pPr>
              <w:spacing w:after="20"/>
            </w:pPr>
            <w:r>
              <w:rPr>
                <w:sz w:val="16"/>
              </w:rPr>
            </w:r>
            <w:r>
              <w:rPr>
                <w:sz w:val="16"/>
              </w:rPr>
              <w:t>FR-05 approval queue</w:t>
            </w:r>
          </w:p>
        </w:tc>
        <w:tc>
          <w:tcPr>
            <w:tcW w:type="dxa" w:w="3564"/>
            <w:shd w:val="clear" w:fill="F7F9FC"/>
          </w:tcPr>
          <w:p>
            <w:pPr>
              <w:spacing w:after="20"/>
            </w:pPr>
            <w:r>
              <w:rPr>
                <w:sz w:val="16"/>
              </w:rPr>
            </w:r>
            <w:r>
              <w:rPr>
                <w:sz w:val="16"/>
              </w:rPr>
              <w:t>FR-01, FR-04, FR-09</w:t>
            </w:r>
          </w:p>
        </w:tc>
        <w:tc>
          <w:tcPr>
            <w:tcW w:type="dxa" w:w="3564"/>
            <w:shd w:val="clear" w:fill="F7F9FC"/>
          </w:tcPr>
          <w:p>
            <w:pPr>
              <w:spacing w:after="20"/>
            </w:pPr>
            <w:r>
              <w:rPr>
                <w:sz w:val="16"/>
              </w:rPr>
            </w:r>
            <w:r>
              <w:rPr>
                <w:sz w:val="16"/>
              </w:rPr>
              <w:t>Needs an ESCALATE outcome to queue, a risk level to trigger on, and a verified reviewer identity to attribute the decision to.</w:t>
            </w:r>
          </w:p>
        </w:tc>
      </w:tr>
      <w:tr>
        <w:tc>
          <w:tcPr>
            <w:tcW w:type="dxa" w:w="3564"/>
          </w:tcPr>
          <w:p>
            <w:pPr>
              <w:spacing w:after="20"/>
            </w:pPr>
            <w:r>
              <w:rPr>
                <w:sz w:val="16"/>
              </w:rPr>
            </w:r>
            <w:r>
              <w:rPr>
                <w:sz w:val="16"/>
              </w:rPr>
              <w:t>7</w:t>
            </w:r>
          </w:p>
        </w:tc>
        <w:tc>
          <w:tcPr>
            <w:tcW w:type="dxa" w:w="3564"/>
          </w:tcPr>
          <w:p>
            <w:pPr>
              <w:spacing w:after="20"/>
            </w:pPr>
            <w:r>
              <w:rPr>
                <w:sz w:val="16"/>
              </w:rPr>
            </w:r>
            <w:r>
              <w:rPr>
                <w:sz w:val="16"/>
              </w:rPr>
              <w:t>FR-06 dashboard</w:t>
            </w:r>
          </w:p>
        </w:tc>
        <w:tc>
          <w:tcPr>
            <w:tcW w:type="dxa" w:w="3564"/>
          </w:tcPr>
          <w:p>
            <w:pPr>
              <w:spacing w:after="20"/>
            </w:pPr>
            <w:r>
              <w:rPr>
                <w:sz w:val="16"/>
              </w:rPr>
            </w:r>
            <w:r>
              <w:rPr>
                <w:sz w:val="16"/>
              </w:rPr>
              <w:t>FR-03, FR-05</w:t>
            </w:r>
          </w:p>
        </w:tc>
        <w:tc>
          <w:tcPr>
            <w:tcW w:type="dxa" w:w="3564"/>
          </w:tcPr>
          <w:p>
            <w:pPr>
              <w:spacing w:after="20"/>
            </w:pPr>
            <w:r>
              <w:rPr>
                <w:sz w:val="16"/>
              </w:rPr>
            </w:r>
            <w:r>
              <w:rPr>
                <w:sz w:val="16"/>
              </w:rPr>
              <w:t>Reads the audit log and the queue. Nothing to render before both exist.</w:t>
            </w:r>
          </w:p>
        </w:tc>
      </w:tr>
      <w:tr>
        <w:tc>
          <w:tcPr>
            <w:tcW w:type="dxa" w:w="3564"/>
            <w:shd w:val="clear" w:fill="F7F9FC"/>
          </w:tcPr>
          <w:p>
            <w:pPr>
              <w:spacing w:after="20"/>
            </w:pPr>
            <w:r>
              <w:rPr>
                <w:sz w:val="16"/>
              </w:rPr>
            </w:r>
            <w:r>
              <w:rPr>
                <w:sz w:val="16"/>
              </w:rPr>
              <w:t>8</w:t>
            </w:r>
          </w:p>
        </w:tc>
        <w:tc>
          <w:tcPr>
            <w:tcW w:type="dxa" w:w="3564"/>
            <w:shd w:val="clear" w:fill="F7F9FC"/>
          </w:tcPr>
          <w:p>
            <w:pPr>
              <w:spacing w:after="20"/>
            </w:pPr>
            <w:r>
              <w:rPr>
                <w:sz w:val="16"/>
              </w:rPr>
            </w:r>
            <w:r>
              <w:rPr>
                <w:sz w:val="16"/>
              </w:rPr>
              <w:t>FR-08 semantic guardrails</w:t>
            </w:r>
          </w:p>
        </w:tc>
        <w:tc>
          <w:tcPr>
            <w:tcW w:type="dxa" w:w="3564"/>
            <w:shd w:val="clear" w:fill="F7F9FC"/>
          </w:tcPr>
          <w:p>
            <w:pPr>
              <w:spacing w:after="20"/>
            </w:pPr>
            <w:r>
              <w:rPr>
                <w:sz w:val="16"/>
              </w:rPr>
            </w:r>
            <w:r>
              <w:rPr>
                <w:sz w:val="16"/>
              </w:rPr>
              <w:t>FR-01</w:t>
            </w:r>
          </w:p>
        </w:tc>
        <w:tc>
          <w:tcPr>
            <w:tcW w:type="dxa" w:w="3564"/>
            <w:shd w:val="clear" w:fill="F7F9FC"/>
          </w:tcPr>
          <w:p>
            <w:pPr>
              <w:spacing w:after="20"/>
            </w:pPr>
            <w:r>
              <w:rPr>
                <w:sz w:val="16"/>
              </w:rPr>
            </w:r>
            <w:r>
              <w:rPr>
                <w:sz w:val="16"/>
              </w:rPr>
              <w:t>Runs ahead of the policy engine inside the interception path, so it needs that path.</w:t>
            </w:r>
          </w:p>
        </w:tc>
      </w:tr>
      <w:tr>
        <w:tc>
          <w:tcPr>
            <w:tcW w:type="dxa" w:w="3564"/>
          </w:tcPr>
          <w:p>
            <w:pPr>
              <w:spacing w:after="20"/>
            </w:pPr>
            <w:r>
              <w:rPr>
                <w:sz w:val="16"/>
              </w:rPr>
            </w:r>
            <w:r>
              <w:rPr>
                <w:sz w:val="16"/>
              </w:rPr>
              <w:t>9</w:t>
            </w:r>
          </w:p>
        </w:tc>
        <w:tc>
          <w:tcPr>
            <w:tcW w:type="dxa" w:w="3564"/>
          </w:tcPr>
          <w:p>
            <w:pPr>
              <w:spacing w:after="20"/>
            </w:pPr>
            <w:r>
              <w:rPr>
                <w:sz w:val="16"/>
              </w:rPr>
            </w:r>
            <w:r>
              <w:rPr>
                <w:sz w:val="16"/>
              </w:rPr>
              <w:t>FR-10 rule library</w:t>
            </w:r>
          </w:p>
        </w:tc>
        <w:tc>
          <w:tcPr>
            <w:tcW w:type="dxa" w:w="3564"/>
          </w:tcPr>
          <w:p>
            <w:pPr>
              <w:spacing w:after="20"/>
            </w:pPr>
            <w:r>
              <w:rPr>
                <w:sz w:val="16"/>
              </w:rPr>
            </w:r>
            <w:r>
              <w:rPr>
                <w:sz w:val="16"/>
              </w:rPr>
              <w:t>FR-02</w:t>
            </w:r>
          </w:p>
        </w:tc>
        <w:tc>
          <w:tcPr>
            <w:tcW w:type="dxa" w:w="3564"/>
          </w:tcPr>
          <w:p>
            <w:pPr>
              <w:spacing w:after="20"/>
            </w:pPr>
            <w:r>
              <w:rPr>
                <w:sz w:val="16"/>
              </w:rPr>
            </w:r>
            <w:r>
              <w:rPr>
                <w:sz w:val="16"/>
              </w:rPr>
              <w:t>Pre-built rules are only useful once the engine can evaluate them.</w:t>
            </w:r>
          </w:p>
        </w:tc>
      </w:tr>
      <w:tr>
        <w:tc>
          <w:tcPr>
            <w:tcW w:type="dxa" w:w="3564"/>
            <w:shd w:val="clear" w:fill="F7F9FC"/>
          </w:tcPr>
          <w:p>
            <w:pPr>
              <w:spacing w:after="20"/>
            </w:pPr>
            <w:r>
              <w:rPr>
                <w:sz w:val="16"/>
              </w:rPr>
            </w:r>
            <w:r>
              <w:rPr>
                <w:sz w:val="16"/>
              </w:rPr>
              <w:t>10</w:t>
            </w:r>
          </w:p>
        </w:tc>
        <w:tc>
          <w:tcPr>
            <w:tcW w:type="dxa" w:w="3564"/>
            <w:shd w:val="clear" w:fill="F7F9FC"/>
          </w:tcPr>
          <w:p>
            <w:pPr>
              <w:spacing w:after="20"/>
            </w:pPr>
            <w:r>
              <w:rPr>
                <w:sz w:val="16"/>
              </w:rPr>
            </w:r>
            <w:r>
              <w:rPr>
                <w:sz w:val="16"/>
              </w:rPr>
              <w:t>FR-07 Azure deployment</w:t>
            </w:r>
          </w:p>
        </w:tc>
        <w:tc>
          <w:tcPr>
            <w:tcW w:type="dxa" w:w="3564"/>
            <w:shd w:val="clear" w:fill="F7F9FC"/>
          </w:tcPr>
          <w:p>
            <w:pPr>
              <w:spacing w:after="20"/>
            </w:pPr>
            <w:r>
              <w:rPr>
                <w:sz w:val="16"/>
              </w:rPr>
            </w:r>
            <w:r>
              <w:rPr>
                <w:sz w:val="16"/>
              </w:rPr>
              <w:t>FR-01 to FR-06</w:t>
            </w:r>
          </w:p>
        </w:tc>
        <w:tc>
          <w:tcPr>
            <w:tcW w:type="dxa" w:w="3564"/>
            <w:shd w:val="clear" w:fill="F7F9FC"/>
          </w:tcPr>
          <w:p>
            <w:pPr>
              <w:spacing w:after="20"/>
            </w:pPr>
            <w:r>
              <w:rPr>
                <w:sz w:val="16"/>
              </w:rPr>
            </w:r>
            <w:r>
              <w:rPr>
                <w:sz w:val="16"/>
              </w:rPr>
              <w:t>Deploying an incomplete decision path proves nothing. CI gates the deploy, so the tests had to exist first.</w:t>
            </w:r>
          </w:p>
        </w:tc>
      </w:tr>
      <w:tr>
        <w:tc>
          <w:tcPr>
            <w:tcW w:type="dxa" w:w="3564"/>
          </w:tcPr>
          <w:p>
            <w:pPr>
              <w:spacing w:after="20"/>
            </w:pPr>
            <w:r>
              <w:rPr>
                <w:sz w:val="16"/>
              </w:rPr>
            </w:r>
            <w:r>
              <w:rPr>
                <w:sz w:val="16"/>
              </w:rPr>
              <w:t>11</w:t>
            </w:r>
          </w:p>
        </w:tc>
        <w:tc>
          <w:tcPr>
            <w:tcW w:type="dxa" w:w="3564"/>
          </w:tcPr>
          <w:p>
            <w:pPr>
              <w:spacing w:after="20"/>
            </w:pPr>
            <w:r>
              <w:rPr>
                <w:sz w:val="16"/>
              </w:rPr>
            </w:r>
            <w:r>
              <w:rPr>
                <w:sz w:val="16"/>
              </w:rPr>
              <w:t>FR-11 Group 2 integration</w:t>
            </w:r>
          </w:p>
        </w:tc>
        <w:tc>
          <w:tcPr>
            <w:tcW w:type="dxa" w:w="3564"/>
          </w:tcPr>
          <w:p>
            <w:pPr>
              <w:spacing w:after="20"/>
            </w:pPr>
            <w:r>
              <w:rPr>
                <w:sz w:val="16"/>
              </w:rPr>
            </w:r>
            <w:r>
              <w:rPr>
                <w:sz w:val="16"/>
              </w:rPr>
              <w:t>FR-01, FR-07, external</w:t>
            </w:r>
          </w:p>
        </w:tc>
        <w:tc>
          <w:tcPr>
            <w:tcW w:type="dxa" w:w="3564"/>
          </w:tcPr>
          <w:p>
            <w:pPr>
              <w:spacing w:after="20"/>
            </w:pPr>
            <w:r>
              <w:rPr>
                <w:sz w:val="16"/>
              </w:rPr>
            </w:r>
            <w:r>
              <w:rPr>
                <w:sz w:val="16"/>
              </w:rPr>
              <w:t>Blocked on a contract we do not own. Not sequencing, a dependency outside the team.</w:t>
            </w:r>
          </w:p>
        </w:tc>
      </w:tr>
    </w:tbl>
    <w:p/>
    <w:p>
      <w:pPr>
        <w:spacing w:after="120"/>
      </w:pPr>
      <w:r>
        <w:t>The one true external dependency is FR-11. Everything else is internal</w:t>
      </w:r>
    </w:p>
    <w:p>
      <w:pPr>
        <w:spacing w:after="120"/>
      </w:pPr>
      <w:r>
        <w:t>sequencing the team controlled.</w:t>
      </w:r>
    </w:p>
    <w:p>
      <w:pPr>
        <w:spacing w:before="280"/>
      </w:pPr>
      <w:r>
        <w:rPr>
          <w:b/>
          <w:color w:val="1B3A6B"/>
          <w:sz w:val="26"/>
        </w:rPr>
        <w:t>Changes since A2</w:t>
      </w:r>
    </w:p>
    <w:p>
      <w:pPr>
        <w:pStyle w:val="ListBullet"/>
        <w:spacing w:after="40"/>
      </w:pPr>
      <w:r>
        <w:rPr>
          <w:b/>
          <w:color w:val="1B3A6B"/>
        </w:rPr>
        <w:t>Added:</w:t>
      </w:r>
      <w:r>
        <w:t xml:space="preserve"> agent API-key authentication for machine callers (A2 assumed JWT everywhere; agents cannot do an interactive login).</w:t>
      </w:r>
    </w:p>
    <w:p>
      <w:pPr>
        <w:pStyle w:val="ListBullet"/>
        <w:spacing w:after="40"/>
      </w:pPr>
      <w:r>
        <w:rPr>
          <w:b/>
          <w:color w:val="1B3A6B"/>
        </w:rPr>
        <w:t>Added:</w:t>
      </w:r>
      <w:r>
        <w:t xml:space="preserve"> live traffic simulator for demo/testing (not a requirement, supports FR-06 demonstration).</w:t>
      </w:r>
    </w:p>
    <w:p>
      <w:pPr>
        <w:pStyle w:val="ListBullet"/>
        <w:spacing w:after="40"/>
      </w:pPr>
      <w:r>
        <w:rPr>
          <w:b/>
          <w:color w:val="1B3A6B"/>
        </w:rPr>
        <w:t>Added:</w:t>
      </w:r>
      <w:r>
        <w:t xml:space="preserve"> persistent agent registry (</w:t>
      </w:r>
      <w:r>
        <w:rPr>
          <w:rFonts w:ascii="Courier New" w:hAnsi="Courier New"/>
          <w:color w:val="1B3A6B"/>
          <w:sz w:val="18"/>
        </w:rPr>
        <w:t>agents</w:t>
      </w:r>
      <w:r>
        <w:t xml:space="preserve"> table). A2 did not call for one; it became necessary once agents had to be suspended and audited by identity.</w:t>
      </w:r>
    </w:p>
    <w:p>
      <w:pPr>
        <w:pStyle w:val="ListBullet"/>
        <w:spacing w:after="40"/>
      </w:pPr>
      <w:r>
        <w:rPr>
          <w:b/>
          <w:color w:val="1B3A6B"/>
        </w:rPr>
        <w:t>Changed:</w:t>
      </w:r>
      <w:r>
        <w:t xml:space="preserve"> FR-07 target is a single Azure VM running Docker Compose, not App Service plus Key Vault. Reason in the FR-07 row. </w:t>
      </w:r>
      <w:r>
        <w:rPr>
          <w:b/>
          <w:color w:val="1B3A6B"/>
        </w:rPr>
        <w:t>Azure is the environment A4 demonstrates</w:t>
      </w:r>
      <w:r>
        <w:t xml:space="preserve">, at </w:t>
      </w:r>
      <w:r>
        <w:rPr>
          <w:rFonts w:ascii="Courier New" w:hAnsi="Courier New"/>
          <w:color w:val="1B3A6B"/>
          <w:sz w:val="18"/>
        </w:rPr>
        <w:t>http://20.92.93.30</w:t>
      </w:r>
      <w:r>
        <w:t>; Proxmox was development-only and no longer serves the demo.</w:t>
      </w:r>
    </w:p>
    <w:p>
      <w:pPr>
        <w:pStyle w:val="ListBullet"/>
        <w:spacing w:after="40"/>
      </w:pPr>
      <w:r>
        <w:rPr>
          <w:b/>
          <w:color w:val="1B3A6B"/>
        </w:rPr>
        <w:t>Descoped:</w:t>
      </w:r>
      <w:r>
        <w:t xml:space="preserve"> Databricks / Delta Lake migration for the audit store. A2 made this conditional on access being confirmed (Sprint 4, "if access confirmed"). Access was never confirmed, so the audit store stays on PostgreSQL. The hash chain gives the tamper-evidence the migration was wanted for.</w:t>
      </w:r>
    </w:p>
    <w:p>
      <w:pPr>
        <w:pStyle w:val="ListBullet"/>
        <w:spacing w:after="40"/>
      </w:pPr>
      <w:r>
        <w:rPr>
          <w:b/>
          <w:color w:val="1B3A6B"/>
        </w:rPr>
        <w:t>Removed:</w:t>
      </w:r>
      <w:r>
        <w:t xml:space="preserve"> nothing removed from the Must/Should sets.</w:t>
      </w:r>
    </w:p>
    <w:p>
      <w:pPr>
        <w:spacing w:before="280"/>
      </w:pPr>
      <w:r>
        <w:rPr>
          <w:b/>
          <w:color w:val="1B3A6B"/>
          <w:sz w:val="26"/>
        </w:rPr>
        <w:t>Non-functional requirements snapshot</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val="clear" w:fill="1B3A6B"/>
          </w:tcPr>
          <w:p>
            <w:r/>
            <w:r>
              <w:rPr>
                <w:b/>
                <w:color w:val="FFFFFF"/>
                <w:sz w:val="15"/>
              </w:rPr>
              <w:t>NFR</w:t>
            </w:r>
          </w:p>
        </w:tc>
        <w:tc>
          <w:tcPr>
            <w:tcW w:type="dxa" w:w="4752"/>
            <w:shd w:val="clear" w:fill="1B3A6B"/>
          </w:tcPr>
          <w:p>
            <w:r/>
            <w:r>
              <w:rPr>
                <w:b/>
                <w:color w:val="FFFFFF"/>
                <w:sz w:val="15"/>
              </w:rPr>
              <w:t>STATUS</w:t>
            </w:r>
          </w:p>
        </w:tc>
        <w:tc>
          <w:tcPr>
            <w:tcW w:type="dxa" w:w="4752"/>
            <w:shd w:val="clear" w:fill="1B3A6B"/>
          </w:tcPr>
          <w:p>
            <w:r/>
            <w:r>
              <w:rPr>
                <w:b/>
                <w:color w:val="FFFFFF"/>
                <w:sz w:val="15"/>
              </w:rPr>
              <w:t>NOTES</w:t>
            </w:r>
          </w:p>
        </w:tc>
      </w:tr>
      <w:tr>
        <w:tc>
          <w:tcPr>
            <w:tcW w:type="dxa" w:w="4752"/>
          </w:tcPr>
          <w:p>
            <w:pPr>
              <w:spacing w:after="20"/>
            </w:pPr>
            <w:r>
              <w:rPr>
                <w:sz w:val="16"/>
              </w:rPr>
            </w:r>
            <w:r>
              <w:rPr>
                <w:sz w:val="16"/>
              </w:rPr>
              <w:t>Fail-closed everywhere</w:t>
            </w:r>
          </w:p>
        </w:tc>
        <w:tc>
          <w:tcPr>
            <w:tcW w:type="dxa" w:w="4752"/>
          </w:tcPr>
          <w:p>
            <w:pPr>
              <w:spacing w:after="20"/>
            </w:pPr>
            <w:r>
              <w:rPr>
                <w:sz w:val="16"/>
              </w:rPr>
            </w:r>
            <w:r>
              <w:rPr>
                <w:sz w:val="16"/>
              </w:rPr>
              <w:t>Done</w:t>
            </w:r>
          </w:p>
        </w:tc>
        <w:tc>
          <w:tcPr>
            <w:tcW w:type="dxa" w:w="4752"/>
          </w:tcPr>
          <w:p>
            <w:pPr>
              <w:spacing w:after="20"/>
            </w:pPr>
            <w:r>
              <w:rPr>
                <w:sz w:val="16"/>
              </w:rPr>
            </w:r>
            <w:r>
              <w:rPr>
                <w:sz w:val="16"/>
              </w:rPr>
              <w:t xml:space="preserve">Deny on engine error, on unknown action, on unreachable API, on missing agent key, and on any rule condition that cannot be resolved. The last one was the gap: unresolvable conditions used to be treated as satisfied, which on a </w:t>
            </w:r>
            <w:r>
              <w:rPr>
                <w:i/>
                <w:sz w:val="16"/>
              </w:rPr>
              <w:t>permit</w:t>
            </w:r>
            <w:r>
              <w:rPr>
                <w:sz w:val="16"/>
              </w:rPr>
              <w:t xml:space="preserve"> rule meant allowing the thing the rule was supposed to gate.</w:t>
            </w:r>
          </w:p>
        </w:tc>
      </w:tr>
      <w:tr>
        <w:tc>
          <w:tcPr>
            <w:tcW w:type="dxa" w:w="4752"/>
            <w:shd w:val="clear" w:fill="F7F9FC"/>
          </w:tcPr>
          <w:p>
            <w:pPr>
              <w:spacing w:after="20"/>
            </w:pPr>
            <w:r>
              <w:rPr>
                <w:sz w:val="16"/>
              </w:rPr>
            </w:r>
            <w:r>
              <w:rPr>
                <w:sz w:val="16"/>
              </w:rPr>
              <w:t>PII masking before storage</w:t>
            </w:r>
          </w:p>
        </w:tc>
        <w:tc>
          <w:tcPr>
            <w:tcW w:type="dxa" w:w="4752"/>
            <w:shd w:val="clear" w:fill="F7F9FC"/>
          </w:tcPr>
          <w:p>
            <w:pPr>
              <w:spacing w:after="20"/>
            </w:pPr>
            <w:r>
              <w:rPr>
                <w:sz w:val="16"/>
              </w:rPr>
            </w:r>
            <w:r>
              <w:rPr>
                <w:sz w:val="16"/>
              </w:rPr>
              <w:t>Done (top-level fields)</w:t>
            </w:r>
          </w:p>
        </w:tc>
        <w:tc>
          <w:tcPr>
            <w:tcW w:type="dxa" w:w="4752"/>
            <w:shd w:val="clear" w:fill="F7F9FC"/>
          </w:tcPr>
          <w:p>
            <w:pPr>
              <w:spacing w:after="20"/>
            </w:pPr>
            <w:r>
              <w:rPr>
                <w:sz w:val="16"/>
              </w:rPr>
            </w:r>
            <w:r>
              <w:rPr>
                <w:sz w:val="16"/>
              </w:rPr>
              <w:t>Nested payload masking is a known gap, planned before production.</w:t>
            </w:r>
          </w:p>
        </w:tc>
      </w:tr>
      <w:tr>
        <w:tc>
          <w:tcPr>
            <w:tcW w:type="dxa" w:w="4752"/>
          </w:tcPr>
          <w:p>
            <w:pPr>
              <w:spacing w:after="20"/>
            </w:pPr>
            <w:r>
              <w:rPr>
                <w:sz w:val="16"/>
              </w:rPr>
            </w:r>
            <w:r>
              <w:rPr>
                <w:sz w:val="16"/>
              </w:rPr>
              <w:t>Interception latency</w:t>
            </w:r>
          </w:p>
        </w:tc>
        <w:tc>
          <w:tcPr>
            <w:tcW w:type="dxa" w:w="4752"/>
          </w:tcPr>
          <w:p>
            <w:pPr>
              <w:spacing w:after="20"/>
            </w:pPr>
            <w:r>
              <w:rPr>
                <w:sz w:val="16"/>
              </w:rPr>
            </w:r>
            <w:r>
              <w:rPr>
                <w:sz w:val="16"/>
              </w:rPr>
              <w:t>Done</w:t>
            </w:r>
          </w:p>
        </w:tc>
        <w:tc>
          <w:tcPr>
            <w:tcW w:type="dxa" w:w="4752"/>
          </w:tcPr>
          <w:p>
            <w:pPr>
              <w:spacing w:after="20"/>
            </w:pPr>
            <w:r>
              <w:rPr>
                <w:sz w:val="16"/>
              </w:rPr>
            </w:r>
            <w:r>
              <w:rPr>
                <w:sz w:val="16"/>
              </w:rPr>
              <w:t>Policy evaluation is in-memory; measured well under agent timeout budgets.</w:t>
            </w:r>
          </w:p>
        </w:tc>
      </w:tr>
      <w:tr>
        <w:tc>
          <w:tcPr>
            <w:tcW w:type="dxa" w:w="4752"/>
            <w:shd w:val="clear" w:fill="F7F9FC"/>
          </w:tcPr>
          <w:p>
            <w:pPr>
              <w:spacing w:after="20"/>
            </w:pPr>
            <w:r>
              <w:rPr>
                <w:sz w:val="16"/>
              </w:rPr>
            </w:r>
            <w:r>
              <w:rPr>
                <w:sz w:val="16"/>
              </w:rPr>
              <w:t>WCAG 2.1 AA (risk never colour-only)</w:t>
            </w:r>
          </w:p>
        </w:tc>
        <w:tc>
          <w:tcPr>
            <w:tcW w:type="dxa" w:w="4752"/>
            <w:shd w:val="clear" w:fill="F7F9FC"/>
          </w:tcPr>
          <w:p>
            <w:pPr>
              <w:spacing w:after="20"/>
            </w:pPr>
            <w:r>
              <w:rPr>
                <w:sz w:val="16"/>
              </w:rPr>
            </w:r>
            <w:r>
              <w:rPr>
                <w:sz w:val="16"/>
              </w:rPr>
              <w:t>Done</w:t>
            </w:r>
          </w:p>
        </w:tc>
        <w:tc>
          <w:tcPr>
            <w:tcW w:type="dxa" w:w="4752"/>
            <w:shd w:val="clear" w:fill="F7F9FC"/>
          </w:tcPr>
          <w:p>
            <w:pPr>
              <w:spacing w:after="20"/>
            </w:pPr>
            <w:r>
              <w:rPr>
                <w:sz w:val="16"/>
              </w:rPr>
            </w:r>
            <w:r>
              <w:rPr>
                <w:sz w:val="16"/>
              </w:rPr>
              <w:t>Risk badges carry text labels + icons across all screens.</w:t>
            </w:r>
          </w:p>
        </w:tc>
      </w:tr>
      <w:tr>
        <w:tc>
          <w:tcPr>
            <w:tcW w:type="dxa" w:w="4752"/>
          </w:tcPr>
          <w:p>
            <w:pPr>
              <w:spacing w:after="20"/>
            </w:pPr>
            <w:r>
              <w:rPr>
                <w:sz w:val="16"/>
              </w:rPr>
            </w:r>
            <w:r>
              <w:rPr>
                <w:sz w:val="16"/>
              </w:rPr>
              <w:t>Test coverage</w:t>
            </w:r>
          </w:p>
        </w:tc>
        <w:tc>
          <w:tcPr>
            <w:tcW w:type="dxa" w:w="4752"/>
          </w:tcPr>
          <w:p>
            <w:pPr>
              <w:spacing w:after="20"/>
            </w:pPr>
            <w:r>
              <w:rPr>
                <w:sz w:val="16"/>
              </w:rPr>
            </w:r>
            <w:r>
              <w:rPr>
                <w:sz w:val="16"/>
              </w:rPr>
              <w:t>105 tests, all green in CI</w:t>
            </w:r>
          </w:p>
        </w:tc>
        <w:tc>
          <w:tcPr>
            <w:tcW w:type="dxa" w:w="4752"/>
          </w:tcPr>
          <w:p>
            <w:pPr>
              <w:spacing w:after="20"/>
            </w:pPr>
            <w:r>
              <w:rPr>
                <w:sz w:val="16"/>
              </w:rPr>
            </w:r>
            <w:r>
              <w:rPr>
                <w:sz w:val="16"/>
              </w:rPr>
              <w:t>Unit (policy, audit, risk, semantic guard) + live integration incl. RBAC regression tests. The integration half skips itself unless the API is up, which in CI meant 27 tests - every RBAC one included - were silently not running and the badge was green off the unit tests alone. CI now starts the API before pytest, so the whole suite runs, and it typechecks the frontend before building rather than only bundling it.</w:t>
            </w:r>
          </w:p>
        </w:tc>
      </w:tr>
    </w:tbl>
    <w:p/>
    <w:sectPr w:rsidR="00FC693F" w:rsidRPr="0006063C" w:rsidSect="00034616">
      <w:footerReference w:type="default" r:id="rId9"/>
      <w:pgSz w:w="15840" w:h="12240" w:orient="landscape"/>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99"/>
        <w:sz w:val="15"/>
      </w:rPr>
      <w:t>CERTACITO.AI          University of Wollongong | CSIT321 | 2026 | Group 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Certacito.ai - Requirements Traceability Matrix</dc:title>
  <dc:subject>A4 Prototype Presentation appendix</dc:subject>
  <dc:creator>Group 28, CSIT321, University of Wollongong</dc:creator>
  <cp:keywords/>
  <dc:description>generated by python-docx</dc:description>
  <cp:lastModifiedBy/>
  <cp:revision>1</cp:revision>
  <dcterms:created xsi:type="dcterms:W3CDTF">2013-12-23T23:15:00Z</dcterms:created>
  <dcterms:modified xsi:type="dcterms:W3CDTF">2013-12-23T23:15:00Z</dcterms:modified>
  <cp:category>CSIT321 A4</cp:category>
</cp:coreProperties>
</file>