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t xml:space="preserve"/>
      </w:r>
    </w:p>
    <w:p>
      <w:pPr>
        <w:spacing w:after="80"/>
        <w:jc w:val="center"/>
      </w:pPr>
      <w:r>
        <w:rPr>
          <w:rFonts w:ascii="Arial" w:cs="Arial" w:eastAsia="Arial" w:hAnsi="Arial"/>
          <w:b/>
          <w:bCs/>
          <w:color w:val="FF4500"/>
          <w:sz w:val="72"/>
          <w:szCs w:val="72"/>
        </w:rPr>
        <w:t xml:space="preserve">TECHSUPPORT PRO</w:t>
      </w:r>
    </w:p>
    <w:p>
      <w:pPr>
        <w:spacing w:after="400"/>
        <w:jc w:val="center"/>
      </w:pPr>
      <w:r>
        <w:rPr>
          <w:rFonts w:ascii="Arial" w:cs="Arial" w:eastAsia="Arial" w:hAnsi="Arial"/>
          <w:color w:val="706860"/>
          <w:sz w:val="32"/>
          <w:szCs w:val="32"/>
        </w:rPr>
        <w:t xml:space="preserve">Sistema de Gestión de Servicios Técnicos</w:t>
      </w:r>
    </w:p>
    <w:p>
      <w:pPr>
        <w:pBdr>
          <w:bottom w:val="single" w:color="D4CCB0" w:sz="4" w:space="1"/>
        </w:pBdr>
        <w:spacing w:after="200"/>
      </w:pPr>
      <w:r>
        <w:t xml:space="preserve"/>
      </w:r>
    </w:p>
    <w:p>
      <w:pPr>
        <w:spacing w:after="80"/>
        <w:jc w:val="center"/>
      </w:pPr>
      <w:r>
        <w:rPr>
          <w:rFonts w:ascii="Arial" w:cs="Arial" w:eastAsia="Arial" w:hAnsi="Arial"/>
          <w:b/>
          <w:bCs/>
          <w:color w:val="0E0E0E"/>
          <w:sz w:val="52"/>
          <w:szCs w:val="52"/>
        </w:rPr>
        <w:t xml:space="preserve">INFORME DE FASE 1</w:t>
      </w:r>
    </w:p>
    <w:p>
      <w:pPr>
        <w:spacing w:after="600"/>
        <w:jc w:val="center"/>
      </w:pPr>
      <w:r>
        <w:rPr>
          <w:rFonts w:ascii="Arial" w:cs="Arial" w:eastAsia="Arial" w:hAnsi="Arial"/>
          <w:color w:val="706860"/>
          <w:sz w:val="28"/>
          <w:szCs w:val="28"/>
        </w:rPr>
        <w:t xml:space="preserve">Análisis del Monolito y Diseño de Arquitectura Hexagonal</w:t>
      </w:r>
    </w:p>
    <w:p>
      <w:pPr>
        <w:spacing w:after="24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Borders>
              <w:top w:val="single" w:color="CCCCCC" w:sz="4"/>
              <w:left w:val="single" w:color="CCCCCC" w:sz="4"/>
              <w:bottom w:val="single" w:color="CCCCCC" w:sz="4"/>
              <w:right w:val="single" w:color="CCCCCC" w:sz="4"/>
            </w:tcBorders>
            <w:shd w:fill="FF4500" w:val="clear"/>
            <w:tcMar>
              <w:top w:type="dxa" w:w="100"/>
              <w:left w:type="dxa" w:w="150"/>
              <w:bottom w:type="dxa" w:w="100"/>
              <w:right w:type="dxa" w:w="150"/>
            </w:tcMar>
          </w:tcPr>
          <w:p>
            <w:r>
              <w:rPr>
                <w:b/>
                <w:bCs/>
                <w:color w:val="FFFFFF"/>
                <w:sz w:val="20"/>
                <w:szCs w:val="20"/>
              </w:rPr>
              <w:t xml:space="preserve">PROYECTO</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TechSupport Pro S.A.S.</w:t>
            </w:r>
          </w:p>
        </w:tc>
      </w:tr>
      <w:tr>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FASE</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Fase 1 — Diagnóstico y Diseño</w:t>
            </w:r>
          </w:p>
        </w:tc>
      </w:tr>
      <w:tr>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FECHA</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Marzo 2026</w:t>
            </w:r>
          </w:p>
        </w:tc>
      </w:tr>
      <w:tr>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COBERTURA</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Todo Colombia (operación remota)</w:t>
            </w:r>
          </w:p>
        </w:tc>
      </w:tr>
      <w:tr>
        <w:tc>
          <w:tcPr>
            <w:tcBorders>
              <w:top w:val="single" w:color="CCCCCC" w:sz="4"/>
              <w:left w:val="single" w:color="CCCCCC" w:sz="4"/>
              <w:bottom w:val="single" w:color="CCCCCC" w:sz="4"/>
              <w:right w:val="single" w:color="CCCCCC" w:sz="4"/>
            </w:tcBorders>
            <w:shd w:fill="FF4500" w:val="clear"/>
            <w:tcMar>
              <w:top w:type="dxa" w:w="100"/>
              <w:left w:type="dxa" w:w="150"/>
              <w:bottom w:type="dxa" w:w="100"/>
              <w:right w:type="dxa" w:w="150"/>
            </w:tcMar>
          </w:tcPr>
          <w:p>
            <w:r>
              <w:rPr>
                <w:b/>
                <w:bCs/>
                <w:color w:val="FFFFFF"/>
                <w:sz w:val="20"/>
                <w:szCs w:val="20"/>
              </w:rPr>
              <w:t xml:space="preserve">ESTADO</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En progreso — Refactorización pendiente</w:t>
            </w:r>
          </w:p>
        </w:tc>
      </w:tr>
    </w:tbl>
    <w:p>
      <w:r>
        <w:br w:type="page"/>
      </w:r>
    </w:p>
    <w:p>
      <w:pPr>
        <w:pStyle w:val="Heading1"/>
      </w:pPr>
      <w:r>
        <w:rPr>
          <w:rFonts w:ascii="Arial" w:cs="Arial" w:eastAsia="Arial" w:hAnsi="Arial"/>
          <w:b/>
          <w:bCs/>
          <w:color w:val="0E0E0E"/>
          <w:sz w:val="36"/>
          <w:szCs w:val="36"/>
        </w:rPr>
        <w:t xml:space="preserve">1. Resumen Ejecutivo</w:t>
      </w:r>
    </w:p>
    <w:p>
      <w:pPr>
        <w:pBdr>
          <w:bottom w:val="single" w:color="D4CCB0" w:sz="4" w:space="1"/>
        </w:pBdr>
        <w:spacing w:after="200"/>
      </w:pPr>
      <w:r>
        <w:t xml:space="preserve"/>
      </w:r>
    </w:p>
    <w:p>
      <w:pPr>
        <w:spacing w:after="140"/>
      </w:pPr>
      <w:r>
        <w:rPr>
          <w:sz w:val="22"/>
          <w:szCs w:val="22"/>
        </w:rPr>
        <w:t xml:space="preserve">TechSupport Pro es una empresa colombiana de servicios TI que ofrece soporte técnico presencial y remoto, reparación de equipos e impresoras, alquiler de equipos y desarrollo de software a medida. Su cobertura es nacional mediante operación remota, con presencia física en ciudades principales.</w:t>
      </w:r>
    </w:p>
    <w:p>
      <w:pPr>
        <w:spacing w:after="140"/>
      </w:pPr>
      <w:r>
        <w:rPr>
          <w:sz w:val="22"/>
          <w:szCs w:val="22"/>
        </w:rPr>
        <w:t xml:space="preserve">El sistema actual, denominado en este informe como el </w:t>
      </w:r>
      <w:r>
        <w:rPr>
          <w:b/>
          <w:bCs/>
          <w:color w:val="0E0E0E"/>
        </w:rPr>
        <w:t xml:space="preserve">Monolito TechPro</w:t>
      </w:r>
      <w:r>
        <w:rPr>
          <w:sz w:val="22"/>
          <w:szCs w:val="22"/>
        </w:rPr>
        <w:t xml:space="preserve">, fue construido sobre Python 3.11 + FastAPI + SQLAlchemy + PostgreSQL como un único archivo de 1.263 líneas que concentra sin separación la lógica HTTP, las reglas de negocio, el acceso a datos, las notificaciones y la integración con servicios externos.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4"/>
              <w:left w:val="single" w:color="CCCCCC" w:sz="4"/>
              <w:bottom w:val="single" w:color="CCCCCC" w:sz="4"/>
              <w:right w:val="single" w:color="CCCCCC" w:sz="4"/>
            </w:tcBorders>
            <w:shd w:fill="FF4500" w:val="clear"/>
            <w:tcMar>
              <w:top w:type="dxa" w:w="100"/>
              <w:left w:type="dxa" w:w="150"/>
              <w:bottom w:type="dxa" w:w="100"/>
              <w:right w:type="dxa" w:w="150"/>
            </w:tcMar>
          </w:tcPr>
          <w:p>
            <w:r>
              <w:rPr>
                <w:b/>
                <w:bCs/>
                <w:color w:val="FFFFFF"/>
                <w:sz w:val="20"/>
                <w:szCs w:val="20"/>
              </w:rPr>
              <w:t xml:space="preserve">ENDPOINTS</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LÍNEAS DE CÓDIGO</w:t>
            </w:r>
          </w:p>
        </w:tc>
        <w:tc>
          <w:tcPr>
            <w:tcBorders>
              <w:top w:val="single" w:color="CCCCCC" w:sz="4"/>
              <w:left w:val="single" w:color="CCCCCC" w:sz="4"/>
              <w:bottom w:val="single" w:color="CCCCCC" w:sz="4"/>
              <w:right w:val="single" w:color="CCCCCC" w:sz="4"/>
            </w:tcBorders>
            <w:shd w:fill="DC2626" w:val="clear"/>
            <w:tcMar>
              <w:top w:type="dxa" w:w="100"/>
              <w:left w:type="dxa" w:w="150"/>
              <w:bottom w:type="dxa" w:w="100"/>
              <w:right w:type="dxa" w:w="150"/>
            </w:tcMar>
          </w:tcPr>
          <w:p>
            <w:r>
              <w:rPr>
                <w:b/>
                <w:bCs/>
                <w:color w:val="FFFFFF"/>
                <w:sz w:val="20"/>
                <w:szCs w:val="20"/>
              </w:rPr>
              <w:t xml:space="preserve">VIOLACIONES</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TECNOLOGÍA</w:t>
            </w:r>
          </w:p>
        </w:tc>
      </w:tr>
      <w:tr>
        <w:tc>
          <w:tcPr>
            <w:tcBorders>
              <w:top w:val="single" w:color="CCCCCC" w:sz="4"/>
              <w:left w:val="single" w:color="CCCCCC" w:sz="4"/>
              <w:bottom w:val="single" w:color="CCCCCC" w:sz="4"/>
              <w:right w:val="single" w:color="CCCCCC" w:sz="4"/>
            </w:tcBorders>
            <w:shd w:fill="F2EDE5" w:val="clear"/>
            <w:tcMar>
              <w:top w:type="dxa" w:w="120"/>
              <w:left w:type="dxa" w:w="150"/>
              <w:bottom w:type="dxa" w:w="120"/>
              <w:right w:type="dxa" w:w="150"/>
            </w:tcMar>
          </w:tcPr>
          <w:p>
            <w:pPr>
              <w:jc w:val="center"/>
            </w:pPr>
            <w:r>
              <w:rPr>
                <w:b/>
                <w:bCs/>
                <w:color w:val="FF4500"/>
                <w:sz w:val="48"/>
                <w:szCs w:val="48"/>
              </w:rPr>
              <w:t xml:space="preserve">10</w:t>
            </w:r>
          </w:p>
        </w:tc>
        <w:tc>
          <w:tcPr>
            <w:tcBorders>
              <w:top w:val="single" w:color="CCCCCC" w:sz="4"/>
              <w:left w:val="single" w:color="CCCCCC" w:sz="4"/>
              <w:bottom w:val="single" w:color="CCCCCC" w:sz="4"/>
              <w:right w:val="single" w:color="CCCCCC" w:sz="4"/>
            </w:tcBorders>
            <w:shd w:fill="F2EDE5" w:val="clear"/>
            <w:tcMar>
              <w:top w:type="dxa" w:w="120"/>
              <w:left w:type="dxa" w:w="150"/>
              <w:bottom w:type="dxa" w:w="120"/>
              <w:right w:type="dxa" w:w="150"/>
            </w:tcMar>
          </w:tcPr>
          <w:p>
            <w:pPr>
              <w:jc w:val="center"/>
            </w:pPr>
            <w:r>
              <w:rPr>
                <w:b/>
                <w:bCs/>
                <w:color w:val="0E0E0E"/>
                <w:sz w:val="48"/>
                <w:szCs w:val="48"/>
              </w:rPr>
              <w:t xml:space="preserve">1.263</w:t>
            </w:r>
          </w:p>
        </w:tc>
        <w:tc>
          <w:tcPr>
            <w:tcBorders>
              <w:top w:val="single" w:color="CCCCCC" w:sz="4"/>
              <w:left w:val="single" w:color="CCCCCC" w:sz="4"/>
              <w:bottom w:val="single" w:color="CCCCCC" w:sz="4"/>
              <w:right w:val="single" w:color="CCCCCC" w:sz="4"/>
            </w:tcBorders>
            <w:shd w:fill="FEF2F2" w:val="clear"/>
            <w:tcMar>
              <w:top w:type="dxa" w:w="120"/>
              <w:left w:type="dxa" w:w="150"/>
              <w:bottom w:type="dxa" w:w="120"/>
              <w:right w:type="dxa" w:w="150"/>
            </w:tcMar>
          </w:tcPr>
          <w:p>
            <w:pPr>
              <w:jc w:val="center"/>
            </w:pPr>
            <w:r>
              <w:rPr>
                <w:b/>
                <w:bCs/>
                <w:color w:val="DC2626"/>
                <w:sz w:val="48"/>
                <w:szCs w:val="48"/>
              </w:rPr>
              <w:t xml:space="preserve">85</w:t>
            </w:r>
          </w:p>
        </w:tc>
        <w:tc>
          <w:tcPr>
            <w:tcBorders>
              <w:top w:val="single" w:color="CCCCCC" w:sz="4"/>
              <w:left w:val="single" w:color="CCCCCC" w:sz="4"/>
              <w:bottom w:val="single" w:color="CCCCCC" w:sz="4"/>
              <w:right w:val="single" w:color="CCCCCC" w:sz="4"/>
            </w:tcBorders>
            <w:shd w:fill="F2EDE5" w:val="clear"/>
            <w:tcMar>
              <w:top w:type="dxa" w:w="120"/>
              <w:left w:type="dxa" w:w="150"/>
              <w:bottom w:type="dxa" w:w="120"/>
              <w:right w:type="dxa" w:w="150"/>
            </w:tcMar>
          </w:tcPr>
          <w:p>
            <w:pPr>
              <w:jc w:val="center"/>
            </w:pPr>
            <w:r>
              <w:rPr>
                <w:b w:val="false"/>
                <w:bCs w:val="false"/>
                <w:color w:val="706860"/>
                <w:sz w:val="18"/>
                <w:szCs w:val="18"/>
              </w:rPr>
              <w:t xml:space="preserve">FastAPI + SQLAlchemy</w:t>
            </w:r>
          </w:p>
        </w:tc>
      </w:tr>
    </w:tbl>
    <w:p>
      <w:pPr>
        <w:spacing w:after="120"/>
      </w:pPr>
      <w:r>
        <w:t xml:space="preserve"/>
      </w:r>
    </w:p>
    <w:p>
      <w:pPr>
        <w:spacing w:after="140"/>
      </w:pPr>
      <w:r>
        <w:rPr>
          <w:sz w:val="22"/>
          <w:szCs w:val="22"/>
        </w:rPr>
        <w:t xml:space="preserve">El análisis identificó </w:t>
      </w:r>
      <w:r>
        <w:rPr>
          <w:b/>
          <w:bCs/>
          <w:color w:val="DC2626"/>
        </w:rPr>
        <w:t xml:space="preserve">85 violaciones de principios SOLID y arquitectura limpia</w:t>
      </w:r>
      <w:r>
        <w:rPr>
          <w:sz w:val="22"/>
          <w:szCs w:val="22"/>
        </w:rPr>
        <w:t xml:space="preserve"> distribuidas en 9 categorías. La concentración de responsabilidades en el controlador HTTP hace que el sistema sea </w:t>
      </w:r>
      <w:r>
        <w:rPr>
          <w:b/>
          <w:bCs/>
          <w:color w:val="0E0E0E"/>
        </w:rPr>
        <w:t xml:space="preserve">imposible de probar en aislamiento</w:t>
      </w:r>
      <w:r>
        <w:rPr>
          <w:sz w:val="22"/>
          <w:szCs w:val="22"/>
        </w:rPr>
        <w:t xml:space="preserve">, difícil de escalar y altamente riesgoso de modificar.</w:t>
      </w:r>
    </w:p>
    <w:p>
      <w:pPr>
        <w:spacing w:after="140"/>
      </w:pPr>
      <w:r>
        <w:rPr>
          <w:sz w:val="22"/>
          <w:szCs w:val="22"/>
        </w:rPr>
        <w:t xml:space="preserve">Este informe documenta el problema, propone la </w:t>
      </w:r>
      <w:r>
        <w:rPr>
          <w:b/>
          <w:bCs/>
          <w:color w:val="0E0E0E"/>
        </w:rPr>
        <w:t xml:space="preserve">Arquitectura Hexagonal (Ports &amp; Adapters)</w:t>
      </w:r>
      <w:r>
        <w:rPr>
          <w:sz w:val="22"/>
          <w:szCs w:val="22"/>
        </w:rPr>
        <w:t xml:space="preserve"> como solución y define el plan de trabajo para las Fases 2–5 de la migración.</w:t>
      </w:r>
    </w:p>
    <w:p>
      <w:r>
        <w:br w:type="page"/>
      </w:r>
    </w:p>
    <w:p>
      <w:pPr>
        <w:pStyle w:val="Heading1"/>
      </w:pPr>
      <w:r>
        <w:rPr>
          <w:rFonts w:ascii="Arial" w:cs="Arial" w:eastAsia="Arial" w:hAnsi="Arial"/>
          <w:b/>
          <w:bCs/>
          <w:color w:val="0E0E0E"/>
          <w:sz w:val="36"/>
          <w:szCs w:val="36"/>
        </w:rPr>
        <w:t xml:space="preserve">2. Descripción del Sistema Actual</w:t>
      </w:r>
    </w:p>
    <w:p>
      <w:pPr>
        <w:pBdr>
          <w:bottom w:val="single" w:color="D4CCB0" w:sz="4" w:space="1"/>
        </w:pBdr>
        <w:spacing w:after="200"/>
      </w:pPr>
      <w:r>
        <w:t xml:space="preserve"/>
      </w:r>
    </w:p>
    <w:p>
      <w:pPr>
        <w:pStyle w:val="Heading2"/>
      </w:pPr>
      <w:r>
        <w:rPr>
          <w:rFonts w:ascii="Arial" w:cs="Arial" w:eastAsia="Arial" w:hAnsi="Arial"/>
          <w:b/>
          <w:bCs/>
          <w:color w:val="0E0E0E"/>
          <w:sz w:val="28"/>
          <w:szCs w:val="28"/>
        </w:rPr>
        <w:t xml:space="preserve">2.1 Contexto de Negocio</w:t>
      </w:r>
    </w:p>
    <w:p>
      <w:pPr>
        <w:spacing w:after="140"/>
      </w:pPr>
      <w:r>
        <w:rPr>
          <w:sz w:val="22"/>
          <w:szCs w:val="22"/>
        </w:rPr>
        <w:t xml:space="preserve">TechSupport Pro opera en el mercado B2B colombiano de servicios TI, atendiendo empresas pequeñas y medianas con los siguientes servicios: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200"/>
        <w:gridCol w:w="2200"/>
        <w:gridCol w:w="1900"/>
        <w:gridCol w:w="1860"/>
      </w:tblGrid>
      <w:tr>
        <w:tc>
          <w:tcPr>
            <w:tcBorders>
              <w:top w:val="single" w:color="CCCCCC" w:sz="4"/>
              <w:left w:val="single" w:color="CCCCCC" w:sz="4"/>
              <w:bottom w:val="single" w:color="CCCCCC" w:sz="4"/>
              <w:right w:val="single" w:color="CCCCCC" w:sz="4"/>
            </w:tcBorders>
            <w:shd w:fill="FF4500" w:val="clear"/>
            <w:tcMar>
              <w:top w:type="dxa" w:w="100"/>
              <w:left w:type="dxa" w:w="150"/>
              <w:bottom w:type="dxa" w:w="100"/>
              <w:right w:type="dxa" w:w="150"/>
            </w:tcMar>
          </w:tcPr>
          <w:p>
            <w:r>
              <w:rPr>
                <w:b/>
                <w:bCs/>
                <w:color w:val="FFFFFF"/>
                <w:sz w:val="20"/>
                <w:szCs w:val="20"/>
              </w:rPr>
              <w:t xml:space="preserve">#</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Servicio</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Modalidad</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Precio base</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Unidad</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01</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Soporte Técnico Remoto</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100% remoto</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$45.000 COP</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sesión</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02</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Soporte Técnico Presencial</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Desplazamiento</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$85.000 COP</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visita</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03</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Reparación de PC y Laptop</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Presencial/Taller</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$130.000 COP</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desde</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04</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Reparación de Impresoras</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Presencial/Taller</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$125.000 COP</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desde</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05</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Alquiler de Equipos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Entrega física</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$35.000 COP</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día</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06</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Desarrollo de Software</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Remoto/Híbrido</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Cotización</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proyecto</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07</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Redes e Infraestructura</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Presencial</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$200.000 COP</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desde</w:t>
            </w:r>
          </w:p>
        </w:tc>
      </w:tr>
    </w:tbl>
    <w:p>
      <w:pPr>
        <w:spacing w:after="120"/>
      </w:pPr>
      <w:r>
        <w:t xml:space="preserve"/>
      </w:r>
    </w:p>
    <w:p>
      <w:pPr>
        <w:pStyle w:val="Heading2"/>
      </w:pPr>
      <w:r>
        <w:rPr>
          <w:rFonts w:ascii="Arial" w:cs="Arial" w:eastAsia="Arial" w:hAnsi="Arial"/>
          <w:b/>
          <w:bCs/>
          <w:color w:val="0E0E0E"/>
          <w:sz w:val="28"/>
          <w:szCs w:val="28"/>
        </w:rPr>
        <w:t xml:space="preserve">2.2 Planes de Suscripción</w:t>
      </w:r>
    </w:p>
    <w:p>
      <w:pPr>
        <w:spacing w:after="140"/>
      </w:pPr>
      <w:r>
        <w:rPr>
          <w:sz w:val="22"/>
          <w:szCs w:val="22"/>
        </w:rPr>
        <w:t xml:space="preserve">El modelo de negocio ofrece tres planes que condicionan las reglas de negocio del sistema: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300"/>
        <w:gridCol w:w="1200"/>
        <w:gridCol w:w="1200"/>
        <w:gridCol w:w="2760"/>
      </w:tblGrid>
      <w:tr>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Plan</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Mensualidad</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Tickets máx.</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Resp. máx.</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Descuento</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Alquiler máx.</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Básico</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$0</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2 simult.</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4 horas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0%</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30 días</w:t>
            </w:r>
          </w:p>
        </w:tc>
      </w:tr>
      <w:tr>
        <w:tc>
          <w:tcPr>
            <w:tcBorders>
              <w:top w:val="single" w:color="CCCCCC" w:sz="4"/>
              <w:left w:val="single" w:color="CCCCCC" w:sz="4"/>
              <w:bottom w:val="single" w:color="CCCCCC" w:sz="4"/>
              <w:right w:val="single" w:color="CCCCCC" w:sz="4"/>
            </w:tcBorders>
            <w:shd w:fill="FFF7ED" w:val="clear"/>
            <w:tcMar>
              <w:top w:type="dxa" w:w="80"/>
              <w:left w:type="dxa" w:w="150"/>
              <w:bottom w:type="dxa" w:w="80"/>
              <w:right w:type="dxa" w:w="150"/>
            </w:tcMar>
          </w:tcPr>
          <w:p>
            <w:r>
              <w:rPr>
                <w:b/>
                <w:bCs/>
                <w:color w:val="FF4500"/>
                <w:sz w:val="20"/>
                <w:szCs w:val="20"/>
              </w:rPr>
              <w:t xml:space="preserve">Profesional</w:t>
            </w:r>
          </w:p>
        </w:tc>
        <w:tc>
          <w:tcPr>
            <w:tcBorders>
              <w:top w:val="single" w:color="CCCCCC" w:sz="4"/>
              <w:left w:val="single" w:color="CCCCCC" w:sz="4"/>
              <w:bottom w:val="single" w:color="CCCCCC" w:sz="4"/>
              <w:right w:val="single" w:color="CCCCCC" w:sz="4"/>
            </w:tcBorders>
            <w:shd w:fill="FFF7ED" w:val="clear"/>
            <w:tcMar>
              <w:top w:type="dxa" w:w="80"/>
              <w:left w:type="dxa" w:w="150"/>
              <w:bottom w:type="dxa" w:w="80"/>
              <w:right w:type="dxa" w:w="150"/>
            </w:tcMar>
          </w:tcPr>
          <w:p>
            <w:r>
              <w:rPr>
                <w:color w:val="0E0E0E"/>
                <w:sz w:val="20"/>
                <w:szCs w:val="20"/>
              </w:rPr>
              <w:t xml:space="preserve">$390.000</w:t>
            </w:r>
          </w:p>
        </w:tc>
        <w:tc>
          <w:tcPr>
            <w:tcBorders>
              <w:top w:val="single" w:color="CCCCCC" w:sz="4"/>
              <w:left w:val="single" w:color="CCCCCC" w:sz="4"/>
              <w:bottom w:val="single" w:color="CCCCCC" w:sz="4"/>
              <w:right w:val="single" w:color="CCCCCC" w:sz="4"/>
            </w:tcBorders>
            <w:shd w:fill="FFF7ED" w:val="clear"/>
            <w:tcMar>
              <w:top w:type="dxa" w:w="80"/>
              <w:left w:type="dxa" w:w="150"/>
              <w:bottom w:type="dxa" w:w="80"/>
              <w:right w:type="dxa" w:w="150"/>
            </w:tcMar>
          </w:tcPr>
          <w:p>
            <w:r>
              <w:rPr>
                <w:color w:val="0E0E0E"/>
                <w:sz w:val="20"/>
                <w:szCs w:val="20"/>
              </w:rPr>
              <w:t xml:space="preserve">8 simult.</w:t>
            </w:r>
          </w:p>
        </w:tc>
        <w:tc>
          <w:tcPr>
            <w:tcBorders>
              <w:top w:val="single" w:color="CCCCCC" w:sz="4"/>
              <w:left w:val="single" w:color="CCCCCC" w:sz="4"/>
              <w:bottom w:val="single" w:color="CCCCCC" w:sz="4"/>
              <w:right w:val="single" w:color="CCCCCC" w:sz="4"/>
            </w:tcBorders>
            <w:shd w:fill="FFF7ED" w:val="clear"/>
            <w:tcMar>
              <w:top w:type="dxa" w:w="80"/>
              <w:left w:type="dxa" w:w="150"/>
              <w:bottom w:type="dxa" w:w="80"/>
              <w:right w:type="dxa" w:w="150"/>
            </w:tcMar>
          </w:tcPr>
          <w:p>
            <w:r>
              <w:rPr>
                <w:color w:val="0E0E0E"/>
                <w:sz w:val="20"/>
                <w:szCs w:val="20"/>
              </w:rPr>
              <w:t xml:space="preserve">2 horas</w:t>
            </w:r>
          </w:p>
        </w:tc>
        <w:tc>
          <w:tcPr>
            <w:tcBorders>
              <w:top w:val="single" w:color="CCCCCC" w:sz="4"/>
              <w:left w:val="single" w:color="CCCCCC" w:sz="4"/>
              <w:bottom w:val="single" w:color="CCCCCC" w:sz="4"/>
              <w:right w:val="single" w:color="CCCCCC" w:sz="4"/>
            </w:tcBorders>
            <w:shd w:fill="FFF7ED" w:val="clear"/>
            <w:tcMar>
              <w:top w:type="dxa" w:w="80"/>
              <w:left w:type="dxa" w:w="150"/>
              <w:bottom w:type="dxa" w:w="80"/>
              <w:right w:type="dxa" w:w="150"/>
            </w:tcMar>
          </w:tcPr>
          <w:p>
            <w:r>
              <w:rPr>
                <w:color w:val="0E0E0E"/>
                <w:sz w:val="20"/>
                <w:szCs w:val="20"/>
              </w:rPr>
              <w:t xml:space="preserve">15%</w:t>
            </w:r>
          </w:p>
        </w:tc>
        <w:tc>
          <w:tcPr>
            <w:tcBorders>
              <w:top w:val="single" w:color="CCCCCC" w:sz="4"/>
              <w:left w:val="single" w:color="CCCCCC" w:sz="4"/>
              <w:bottom w:val="single" w:color="CCCCCC" w:sz="4"/>
              <w:right w:val="single" w:color="CCCCCC" w:sz="4"/>
            </w:tcBorders>
            <w:shd w:fill="FFF7ED" w:val="clear"/>
            <w:tcMar>
              <w:top w:type="dxa" w:w="80"/>
              <w:left w:type="dxa" w:w="150"/>
              <w:bottom w:type="dxa" w:w="80"/>
              <w:right w:type="dxa" w:w="150"/>
            </w:tcMar>
          </w:tcPr>
          <w:p>
            <w:r>
              <w:rPr>
                <w:color w:val="0E0E0E"/>
                <w:sz w:val="20"/>
                <w:szCs w:val="20"/>
              </w:rPr>
              <w:t xml:space="preserve">90 días</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Empresarial</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$950.000</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Ilimitados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30 minutos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25%</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365 días</w:t>
            </w:r>
          </w:p>
        </w:tc>
      </w:tr>
    </w:tbl>
    <w:p>
      <w:pPr>
        <w:spacing w:after="120"/>
      </w:pPr>
      <w:r>
        <w:t xml:space="preserve"/>
      </w:r>
    </w:p>
    <w:p>
      <w:pPr>
        <w:pStyle w:val="Heading2"/>
      </w:pPr>
      <w:r>
        <w:rPr>
          <w:rFonts w:ascii="Arial" w:cs="Arial" w:eastAsia="Arial" w:hAnsi="Arial"/>
          <w:b/>
          <w:bCs/>
          <w:color w:val="0E0E0E"/>
          <w:sz w:val="28"/>
          <w:szCs w:val="28"/>
        </w:rPr>
        <w:t xml:space="preserve">2.3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Capa</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Tecnología</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Uso</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API Framework</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Python 3.11 + FastAPI</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Endpoints HTTP REST</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ORM / DB</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SQLAlchemy + PostgreSQL</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Persistencia de datos</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Autenticación</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JWT + bcrypt (SHA-256)</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Sesiones y hash de passwords</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Email</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SMTP (smtplib)</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Notificaciones a clientes y técnicos</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WhatsApp</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WhatsApp Business API</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Confirmaciones y alertas instantáneas</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Pagos</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Wompi (pasarela Colombia)</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Procesamiento de pagos con tarjeta</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Validación</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Pydantic v2</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DTOs y validación de entrada HTTP</w:t>
            </w:r>
          </w:p>
        </w:tc>
      </w:tr>
    </w:tbl>
    <w:p>
      <w:pPr>
        <w:spacing w:after="120"/>
      </w:pPr>
      <w:r>
        <w:t xml:space="preserve"/>
      </w:r>
    </w:p>
    <w:p>
      <w:pPr>
        <w:pStyle w:val="Heading2"/>
      </w:pPr>
      <w:r>
        <w:rPr>
          <w:rFonts w:ascii="Arial" w:cs="Arial" w:eastAsia="Arial" w:hAnsi="Arial"/>
          <w:b/>
          <w:bCs/>
          <w:color w:val="0E0E0E"/>
          <w:sz w:val="28"/>
          <w:szCs w:val="28"/>
        </w:rPr>
        <w:t xml:space="preserve">2.4 Entidades del Domínio</w:t>
      </w:r>
    </w:p>
    <w:p>
      <w:pPr>
        <w:spacing w:after="140"/>
      </w:pPr>
      <w:r>
        <w:rPr>
          <w:sz w:val="22"/>
          <w:szCs w:val="22"/>
        </w:rPr>
        <w:t xml:space="preserve">El sistema gestiona 7 entidades principales:</w:t>
      </w:r>
    </w:p>
    <w:p>
      <w:pPr>
        <w:pStyle w:val="ListParagraph"/>
        <w:numPr>
          <w:ilvl w:val="0"/>
          <w:numId w:val="2"/>
        </w:numPr>
        <w:spacing w:after="80"/>
      </w:pPr>
      <w:r>
        <w:rPr>
          <w:sz w:val="22"/>
          <w:szCs w:val="22"/>
        </w:rPr>
        <w:t xml:space="preserve">ClienteORM — Empresas y personas naturales con planes (basico / profesional / empresarial). Incluye autenticación, verificación de email y control de intentos de login.</w:t>
      </w:r>
    </w:p>
    <w:p>
      <w:pPr>
        <w:pStyle w:val="ListParagraph"/>
        <w:numPr>
          <w:ilvl w:val="0"/>
          <w:numId w:val="2"/>
        </w:numPr>
        <w:spacing w:after="80"/>
      </w:pPr>
      <w:r>
        <w:rPr>
          <w:sz w:val="22"/>
          <w:szCs w:val="22"/>
        </w:rPr>
        <w:t xml:space="preserve">TecnicoORM — Personal de soporte con roles (SUPERADMIN / ADMIN / TECNICO), especialidades y disponibilidad.</w:t>
      </w:r>
    </w:p>
    <w:p>
      <w:pPr>
        <w:pStyle w:val="ListParagraph"/>
        <w:numPr>
          <w:ilvl w:val="0"/>
          <w:numId w:val="2"/>
        </w:numPr>
        <w:spacing w:after="80"/>
      </w:pPr>
      <w:r>
        <w:rPr>
          <w:sz w:val="22"/>
          <w:szCs w:val="22"/>
        </w:rPr>
        <w:t xml:space="preserve">TicketORM — Solicitudes de servicio con tipo, estado (máquina de 8 estados), prioridad y estimación de costo.</w:t>
      </w:r>
    </w:p>
    <w:p>
      <w:pPr>
        <w:pStyle w:val="ListParagraph"/>
        <w:numPr>
          <w:ilvl w:val="0"/>
          <w:numId w:val="2"/>
        </w:numPr>
        <w:spacing w:after="80"/>
      </w:pPr>
      <w:r>
        <w:rPr>
          <w:sz w:val="22"/>
          <w:szCs w:val="22"/>
        </w:rPr>
        <w:t xml:space="preserve">AlquilerEquipoORM — Contratos de alquiler con fechas, cálculo de descuentos, depósito y estado.</w:t>
      </w:r>
    </w:p>
    <w:p>
      <w:pPr>
        <w:pStyle w:val="ListParagraph"/>
        <w:numPr>
          <w:ilvl w:val="0"/>
          <w:numId w:val="2"/>
        </w:numPr>
        <w:spacing w:after="80"/>
      </w:pPr>
      <w:r>
        <w:rPr>
          <w:sz w:val="22"/>
          <w:szCs w:val="22"/>
        </w:rPr>
        <w:t xml:space="preserve">PagoORM — Transacciones con integración Wompi para tarjetas, Nequi, Daviplata, PSE.</w:t>
      </w:r>
    </w:p>
    <w:p>
      <w:pPr>
        <w:pStyle w:val="ListParagraph"/>
        <w:numPr>
          <w:ilvl w:val="0"/>
          <w:numId w:val="2"/>
        </w:numPr>
        <w:spacing w:after="80"/>
      </w:pPr>
      <w:r>
        <w:rPr>
          <w:sz w:val="22"/>
          <w:szCs w:val="22"/>
        </w:rPr>
        <w:t xml:space="preserve">SesionORM — Tokens de acceso con ventana de expiración.</w:t>
      </w:r>
    </w:p>
    <w:p>
      <w:pPr>
        <w:pStyle w:val="ListParagraph"/>
        <w:numPr>
          <w:ilvl w:val="0"/>
          <w:numId w:val="2"/>
        </w:numPr>
        <w:spacing w:after="80"/>
      </w:pPr>
      <w:r>
        <w:rPr>
          <w:sz w:val="22"/>
          <w:szCs w:val="22"/>
        </w:rPr>
        <w:t xml:space="preserve">AuditoriaORM — Registro inmutable de todas las acciones del sistema.</w:t>
      </w:r>
    </w:p>
    <w:p>
      <w:pPr>
        <w:spacing w:after="120"/>
      </w:pPr>
      <w:r>
        <w:t xml:space="preserve"/>
      </w:r>
    </w:p>
    <w:p>
      <w:pPr>
        <w:pStyle w:val="Heading2"/>
      </w:pPr>
      <w:r>
        <w:rPr>
          <w:rFonts w:ascii="Arial" w:cs="Arial" w:eastAsia="Arial" w:hAnsi="Arial"/>
          <w:b/>
          <w:bCs/>
          <w:color w:val="0E0E0E"/>
          <w:sz w:val="28"/>
          <w:szCs w:val="28"/>
        </w:rPr>
        <w:t xml:space="preserve">2.5 Endpoints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700"/>
        <w:gridCol w:w="3100"/>
        <w:gridCol w:w="2200"/>
        <w:gridCol w:w="3160"/>
      </w:tblGrid>
      <w:tr>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Método</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Ruta</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Función</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Líneas</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1</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POST</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/api/clientes/registrar</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Registro de cliente</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L277–L405</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2</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GET</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/api/clientes/verificar/{token}</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Verificación de email</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L407–L447</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3</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POST</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/api/clientes/login</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Autenticación de cliente</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L449–L525</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4</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/api/tickets</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Crear ticket de servicio</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L528–L692</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5</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PUT</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/api/tickets/{id}</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Actualizar estado del ticket</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L695–L793</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6</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/api/tickets/{id}/calificar</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Calificar servicio recibido</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L795–L849</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7</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GET</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/api/clientes/mis-tickets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Listar tickets del cliente</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L851–L902</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8</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POST</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/api/alquileres</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Crear alquiler de equipo</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L904–L1049</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9</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POST</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/api/pagos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Registrar pago (Wompi)</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L1051–L1122</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10</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GET</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/api/admin/dashboard</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Métricas y dashboard admin</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L1124–L1190</w:t>
            </w:r>
          </w:p>
        </w:tc>
      </w:tr>
    </w:tbl>
    <w:p>
      <w:r>
        <w:br w:type="page"/>
      </w:r>
    </w:p>
    <w:p>
      <w:pPr>
        <w:pStyle w:val="Heading1"/>
      </w:pPr>
      <w:r>
        <w:rPr>
          <w:rFonts w:ascii="Arial" w:cs="Arial" w:eastAsia="Arial" w:hAnsi="Arial"/>
          <w:b/>
          <w:bCs/>
          <w:color w:val="0E0E0E"/>
          <w:sz w:val="36"/>
          <w:szCs w:val="36"/>
        </w:rPr>
        <w:t xml:space="preserve">3. Catálogo de Violaciones</w:t>
      </w:r>
    </w:p>
    <w:p>
      <w:pPr>
        <w:pBdr>
          <w:bottom w:val="single" w:color="D4CCB0" w:sz="4" w:space="1"/>
        </w:pBdr>
        <w:spacing w:after="200"/>
      </w:pPr>
      <w:r>
        <w:t xml:space="preserve"/>
      </w:r>
    </w:p>
    <w:p>
      <w:pPr>
        <w:spacing w:after="140"/>
      </w:pPr>
      <w:r>
        <w:rPr>
          <w:sz w:val="22"/>
          <w:szCs w:val="22"/>
        </w:rPr>
        <w:t xml:space="preserve">Se identificaron </w:t>
      </w:r>
      <w:r>
        <w:rPr>
          <w:b/>
          <w:bCs/>
          <w:color w:val="DC2626"/>
        </w:rPr>
        <w:t xml:space="preserve">85 violaciones de arquitectura</w:t>
      </w:r>
      <w:r>
        <w:rPr>
          <w:sz w:val="22"/>
          <w:szCs w:val="22"/>
        </w:rPr>
        <w:t xml:space="preserve"> agrupadas en 9 categorías. Cada una compromete un principio SOLID o de Arquitectura Limpia.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1200"/>
        <w:gridCol w:w="3160"/>
      </w:tblGrid>
      <w:tr>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ID</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Categoría</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Cantidad</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Principio violado</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V-01</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Dominio en Controlador HTTP</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22</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Single Responsibility Principle</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V-02</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SQL Directo en Controladores</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14</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Dependency Inversion Principle</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V-03</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Autenticación Duplicada</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7</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DRY / Open-Closed Principle</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V-04</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Infraestructura Acoplada</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12</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Dependency Inversion Principle</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V-05</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Credenciales Hardcoded</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8</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Secure by Design</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V-06</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ORM en Controladores</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8</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Separation of Concerns</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V-07</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Seguridad en Controladores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4</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Single Responsibility Principle</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V-08</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Métricas de Negocio en Controladores</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6</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Single Responsibility Principle</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V-09</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Errores Silenciados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4</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Fail Fast / Observability</w:t>
            </w:r>
          </w:p>
        </w:tc>
      </w:tr>
      <w:tr>
        <w:tc>
          <w:tcPr>
            <w:tcBorders>
              <w:top w:val="single" w:color="CCCCCC" w:sz="4"/>
              <w:left w:val="single" w:color="CCCCCC" w:sz="4"/>
              <w:bottom w:val="single" w:color="CCCCCC" w:sz="4"/>
              <w:right w:val="single" w:color="CCCCCC" w:sz="4"/>
            </w:tcBorders>
            <w:shd w:fill="FF4500" w:val="clear"/>
            <w:tcMar>
              <w:top w:type="dxa" w:w="100"/>
              <w:left w:type="dxa" w:w="150"/>
              <w:bottom w:type="dxa" w:w="100"/>
              <w:right w:type="dxa" w:w="150"/>
            </w:tcMar>
          </w:tcPr>
          <w:p>
            <w:r>
              <w:rPr>
                <w:b/>
                <w:bCs/>
                <w:color w:val="FFFFFF"/>
                <w:sz w:val="20"/>
                <w:szCs w:val="20"/>
              </w:rPr>
              <w:t xml:space="preserve">TOTAL</w:t>
            </w:r>
          </w:p>
        </w:tc>
        <w:tc>
          <w:tcPr>
            <w:tcBorders>
              <w:top w:val="single" w:color="CCCCCC" w:sz="4"/>
              <w:left w:val="single" w:color="CCCCCC" w:sz="4"/>
              <w:bottom w:val="single" w:color="CCCCCC" w:sz="4"/>
              <w:right w:val="single" w:color="CCCCCC" w:sz="4"/>
            </w:tcBorders>
            <w:shd w:fill="FF4500" w:val="clear"/>
            <w:tcMar>
              <w:top w:type="dxa" w:w="100"/>
              <w:left w:type="dxa" w:w="150"/>
              <w:bottom w:type="dxa" w:w="100"/>
              <w:right w:type="dxa" w:w="150"/>
            </w:tcMar>
          </w:tcPr>
          <w:p>
            <w:r>
              <w:rPr>
                <w:b/>
                <w:bCs/>
                <w:color w:val="FFFFFF"/>
                <w:sz w:val="20"/>
                <w:szCs w:val="20"/>
              </w:rPr>
              <w:t xml:space="preserve">9 categorías</w:t>
            </w:r>
          </w:p>
        </w:tc>
        <w:tc>
          <w:tcPr>
            <w:tcBorders>
              <w:top w:val="single" w:color="CCCCCC" w:sz="4"/>
              <w:left w:val="single" w:color="CCCCCC" w:sz="4"/>
              <w:bottom w:val="single" w:color="CCCCCC" w:sz="4"/>
              <w:right w:val="single" w:color="CCCCCC" w:sz="4"/>
            </w:tcBorders>
            <w:shd w:fill="DC2626" w:val="clear"/>
            <w:tcMar>
              <w:top w:type="dxa" w:w="100"/>
              <w:left w:type="dxa" w:w="150"/>
              <w:bottom w:type="dxa" w:w="100"/>
              <w:right w:type="dxa" w:w="150"/>
            </w:tcMar>
          </w:tcPr>
          <w:p>
            <w:r>
              <w:rPr>
                <w:b/>
                <w:bCs/>
                <w:color w:val="FFFFFF"/>
                <w:sz w:val="20"/>
                <w:szCs w:val="20"/>
              </w:rPr>
              <w:t xml:space="preserve">85</w:t>
            </w:r>
          </w:p>
        </w:tc>
        <w:tc>
          <w:tcPr>
            <w:tcBorders>
              <w:top w:val="single" w:color="CCCCCC" w:sz="4"/>
              <w:left w:val="single" w:color="CCCCCC" w:sz="4"/>
              <w:bottom w:val="single" w:color="CCCCCC" w:sz="4"/>
              <w:right w:val="single" w:color="CCCCCC" w:sz="4"/>
            </w:tcBorders>
            <w:shd w:fill="FF4500" w:val="clear"/>
            <w:tcMar>
              <w:top w:type="dxa" w:w="100"/>
              <w:left w:type="dxa" w:w="150"/>
              <w:bottom w:type="dxa" w:w="100"/>
              <w:right w:type="dxa" w:w="150"/>
            </w:tcMar>
          </w:tcPr>
          <w:p>
            <w:r>
              <w:rPr>
                <w:b/>
                <w:bCs/>
                <w:color w:val="FFFFFF"/>
                <w:sz w:val="20"/>
                <w:szCs w:val="20"/>
              </w:rPr>
              <w:t xml:space="preserve"/>
            </w:r>
          </w:p>
        </w:tc>
      </w:tr>
    </w:tbl>
    <w:p>
      <w:pPr>
        <w:spacing w:after="120"/>
      </w:pPr>
      <w:r>
        <w:t xml:space="preserve"/>
      </w:r>
    </w:p>
    <w:p>
      <w:pPr>
        <w:pStyle w:val="Heading3"/>
      </w:pPr>
      <w:r>
        <w:rPr>
          <w:rFonts w:ascii="Arial" w:cs="Arial" w:eastAsia="Arial" w:hAnsi="Arial"/>
          <w:b/>
          <w:bCs/>
          <w:color w:val="0E0E0E"/>
          <w:sz w:val="24"/>
          <w:szCs w:val="24"/>
        </w:rPr>
        <w:t xml:space="preserve">V-01 — Dominio en Controlador HTTP (22 violaciones)</w:t>
      </w:r>
    </w:p>
    <w:p>
      <w:pPr>
        <w:spacing w:after="120"/>
      </w:pPr>
      <w:r>
        <w:rPr>
          <w:i/>
          <w:iCs/>
          <w:color w:val="706860"/>
          <w:sz w:val="22"/>
          <w:szCs w:val="22"/>
        </w:rPr>
        <w:t xml:space="preserve">Reglas de negocio implementadas directamente en los endpoints FastAPI.</w:t>
      </w:r>
    </w:p>
    <w:p>
      <w:pPr>
        <w:spacing w:after="140"/>
      </w:pPr>
      <w:r>
        <w:rPr>
          <w:b/>
          <w:bCs/>
          <w:color w:val="0E0E0E"/>
        </w:rPr>
        <w:t xml:space="preserve">Ejemplos representativos con referencia de línea:</w:t>
      </w:r>
    </w:p>
    <w:p>
      <w:pPr>
        <w:pStyle w:val="ListParagraph"/>
        <w:numPr>
          <w:ilvl w:val="0"/>
          <w:numId w:val="2"/>
        </w:numPr>
        <w:spacing w:after="80"/>
      </w:pPr>
      <w:r>
        <w:rPr>
          <w:sz w:val="22"/>
          <w:szCs w:val="22"/>
        </w:rPr>
        <w:t xml:space="preserve">L199: Validación de formato de email con regex en endpoint /registrar</w:t>
      </w:r>
    </w:p>
    <w:p>
      <w:pPr>
        <w:pStyle w:val="ListParagraph"/>
        <w:numPr>
          <w:ilvl w:val="0"/>
          <w:numId w:val="2"/>
        </w:numPr>
        <w:spacing w:after="80"/>
      </w:pPr>
      <w:r>
        <w:rPr>
          <w:sz w:val="22"/>
          <w:szCs w:val="22"/>
        </w:rPr>
        <w:t xml:space="preserve">L204: Reglas de complejidad de contraseña (mayúsculas, números, símbolos) en controlador</w:t>
      </w:r>
    </w:p>
    <w:p>
      <w:pPr>
        <w:pStyle w:val="ListParagraph"/>
        <w:numPr>
          <w:ilvl w:val="0"/>
          <w:numId w:val="2"/>
        </w:numPr>
        <w:spacing w:after="80"/>
      </w:pPr>
      <w:r>
        <w:rPr>
          <w:sz w:val="22"/>
          <w:szCs w:val="22"/>
        </w:rPr>
        <w:t xml:space="preserve">L460: Límites de tickets por plan (básico=2, profesional=8) hardcoded en /tickets</w:t>
      </w:r>
    </w:p>
    <w:p>
      <w:pPr>
        <w:pStyle w:val="ListParagraph"/>
        <w:numPr>
          <w:ilvl w:val="0"/>
          <w:numId w:val="2"/>
        </w:numPr>
        <w:spacing w:after="80"/>
      </w:pPr>
      <w:r>
        <w:rPr>
          <w:sz w:val="22"/>
          <w:szCs w:val="22"/>
        </w:rPr>
        <w:t xml:space="preserve">L491: Recargos por prioridad (ALTA +35%, CRÍTICA +70%) en controlador</w:t>
      </w:r>
    </w:p>
    <w:p>
      <w:pPr>
        <w:pStyle w:val="ListParagraph"/>
        <w:numPr>
          <w:ilvl w:val="0"/>
          <w:numId w:val="2"/>
        </w:numPr>
        <w:spacing w:after="80"/>
      </w:pPr>
      <w:r>
        <w:rPr>
          <w:sz w:val="22"/>
          <w:szCs w:val="22"/>
        </w:rPr>
        <w:t xml:space="preserve">L601: Máquina de estados completa (NUEVO→ASIGNADO→...→CERRADO) en controlador</w:t>
      </w:r>
    </w:p>
    <w:p>
      <w:pPr>
        <w:pStyle w:val="ListParagraph"/>
        <w:numPr>
          <w:ilvl w:val="0"/>
          <w:numId w:val="2"/>
        </w:numPr>
        <w:spacing w:after="80"/>
      </w:pPr>
      <w:r>
        <w:rPr>
          <w:sz w:val="22"/>
          <w:szCs w:val="22"/>
        </w:rPr>
        <w:t xml:space="preserve">L843: Validación de fechas de alquiler y mínimo 1 día en controlador</w:t>
      </w:r>
    </w:p>
    <w:p>
      <w:pPr>
        <w:spacing w:after="60"/>
      </w:pPr>
      <w:r>
        <w:t xml:space="preserve"/>
      </w:r>
    </w:p>
    <w:p>
      <w:pPr>
        <w:pStyle w:val="Heading3"/>
      </w:pPr>
      <w:r>
        <w:rPr>
          <w:rFonts w:ascii="Arial" w:cs="Arial" w:eastAsia="Arial" w:hAnsi="Arial"/>
          <w:b/>
          <w:bCs/>
          <w:color w:val="0E0E0E"/>
          <w:sz w:val="24"/>
          <w:szCs w:val="24"/>
        </w:rPr>
        <w:t xml:space="preserve">V-02 — SQL Directo en Controladores (14 violaciones)</w:t>
      </w:r>
    </w:p>
    <w:p>
      <w:pPr>
        <w:spacing w:after="120"/>
      </w:pPr>
      <w:r>
        <w:rPr>
          <w:i/>
          <w:iCs/>
          <w:color w:val="706860"/>
          <w:sz w:val="22"/>
          <w:szCs w:val="22"/>
        </w:rPr>
        <w:t xml:space="preserve">Consultas SQLAlchemy mezcladas con lógica de presentación HTTP.</w:t>
      </w:r>
    </w:p>
    <w:p>
      <w:pPr>
        <w:spacing w:after="140"/>
      </w:pPr>
      <w:r>
        <w:rPr>
          <w:b/>
          <w:bCs/>
          <w:color w:val="0E0E0E"/>
        </w:rPr>
        <w:t xml:space="preserve">Ejemplos representativos con referencia de línea:</w:t>
      </w:r>
    </w:p>
    <w:p>
      <w:pPr>
        <w:pStyle w:val="ListParagraph"/>
        <w:numPr>
          <w:ilvl w:val="0"/>
          <w:numId w:val="2"/>
        </w:numPr>
        <w:spacing w:after="80"/>
      </w:pPr>
      <w:r>
        <w:rPr>
          <w:sz w:val="22"/>
          <w:szCs w:val="22"/>
        </w:rPr>
        <w:t xml:space="preserve">L225: db.query(ClienteORM).filter(...) para verificar duplicados en /registrar</w:t>
      </w:r>
    </w:p>
    <w:p>
      <w:pPr>
        <w:pStyle w:val="ListParagraph"/>
        <w:numPr>
          <w:ilvl w:val="0"/>
          <w:numId w:val="2"/>
        </w:numPr>
        <w:spacing w:after="80"/>
      </w:pPr>
      <w:r>
        <w:rPr>
          <w:sz w:val="22"/>
          <w:szCs w:val="22"/>
        </w:rPr>
        <w:t xml:space="preserve">L453: SQL de autenticación directamente en el handler de /login</w:t>
      </w:r>
    </w:p>
    <w:p>
      <w:pPr>
        <w:pStyle w:val="ListParagraph"/>
        <w:numPr>
          <w:ilvl w:val="0"/>
          <w:numId w:val="2"/>
        </w:numPr>
        <w:spacing w:after="80"/>
      </w:pPr>
      <w:r>
        <w:rPr>
          <w:sz w:val="22"/>
          <w:szCs w:val="22"/>
        </w:rPr>
        <w:t xml:space="preserve">L537: db.query(TecnicoORM) para asignación automática de técnico en /tickets</w:t>
      </w:r>
    </w:p>
    <w:p>
      <w:pPr>
        <w:pStyle w:val="ListParagraph"/>
        <w:numPr>
          <w:ilvl w:val="0"/>
          <w:numId w:val="2"/>
        </w:numPr>
        <w:spacing w:after="80"/>
      </w:pPr>
      <w:r>
        <w:rPr>
          <w:sz w:val="22"/>
          <w:szCs w:val="22"/>
        </w:rPr>
        <w:t xml:space="preserve">L828: db.query(AlquilerEquipoORM).filter(...) para solapamiento en /alquileres</w:t>
      </w:r>
    </w:p>
    <w:p>
      <w:pPr>
        <w:pStyle w:val="ListParagraph"/>
        <w:numPr>
          <w:ilvl w:val="0"/>
          <w:numId w:val="2"/>
        </w:numPr>
        <w:spacing w:after="80"/>
      </w:pPr>
      <w:r>
        <w:rPr>
          <w:sz w:val="22"/>
          <w:szCs w:val="22"/>
        </w:rPr>
        <w:t xml:space="preserve">L1134: Múltiples queries de métricas embebidas en /admin/dashboard</w:t>
      </w:r>
    </w:p>
    <w:p>
      <w:pPr>
        <w:spacing w:after="60"/>
      </w:pPr>
      <w:r>
        <w:t xml:space="preserve"/>
      </w:r>
    </w:p>
    <w:p>
      <w:pPr>
        <w:pStyle w:val="Heading3"/>
      </w:pPr>
      <w:r>
        <w:rPr>
          <w:rFonts w:ascii="Arial" w:cs="Arial" w:eastAsia="Arial" w:hAnsi="Arial"/>
          <w:b/>
          <w:bCs/>
          <w:color w:val="0E0E0E"/>
          <w:sz w:val="24"/>
          <w:szCs w:val="24"/>
        </w:rPr>
        <w:t xml:space="preserve">V-03 — Autenticación Duplicada (7 violaciones)</w:t>
      </w:r>
    </w:p>
    <w:p>
      <w:pPr>
        <w:spacing w:after="120"/>
      </w:pPr>
      <w:r>
        <w:rPr>
          <w:i/>
          <w:iCs/>
          <w:color w:val="706860"/>
          <w:sz w:val="22"/>
          <w:szCs w:val="22"/>
        </w:rPr>
        <w:t xml:space="preserve">Lógica de verificación de token copiada 7 veces en distintos endpoints.</w:t>
      </w:r>
    </w:p>
    <w:p>
      <w:pPr>
        <w:spacing w:after="140"/>
      </w:pPr>
      <w:r>
        <w:rPr>
          <w:b/>
          <w:bCs/>
          <w:color w:val="0E0E0E"/>
        </w:rPr>
        <w:t xml:space="preserve">Ejemplos representativos con referencia de línea:</w:t>
      </w:r>
    </w:p>
    <w:p>
      <w:pPr>
        <w:pStyle w:val="ListParagraph"/>
        <w:numPr>
          <w:ilvl w:val="0"/>
          <w:numId w:val="2"/>
        </w:numPr>
        <w:spacing w:after="80"/>
      </w:pPr>
      <w:r>
        <w:rPr>
          <w:sz w:val="22"/>
          <w:szCs w:val="22"/>
        </w:rPr>
        <w:t xml:space="preserve">L429: Copia 1 — autenticación en /api/tickets (cliente)</w:t>
      </w:r>
    </w:p>
    <w:p>
      <w:pPr>
        <w:pStyle w:val="ListParagraph"/>
        <w:numPr>
          <w:ilvl w:val="0"/>
          <w:numId w:val="2"/>
        </w:numPr>
        <w:spacing w:after="80"/>
      </w:pPr>
      <w:r>
        <w:rPr>
          <w:sz w:val="22"/>
          <w:szCs w:val="22"/>
        </w:rPr>
        <w:t xml:space="preserve">L700: Copia 2 — autenticación en /api/tickets/{id} (técnico)</w:t>
      </w:r>
    </w:p>
    <w:p>
      <w:pPr>
        <w:pStyle w:val="ListParagraph"/>
        <w:numPr>
          <w:ilvl w:val="0"/>
          <w:numId w:val="2"/>
        </w:numPr>
        <w:spacing w:after="80"/>
      </w:pPr>
      <w:r>
        <w:rPr>
          <w:sz w:val="22"/>
          <w:szCs w:val="22"/>
        </w:rPr>
        <w:t xml:space="preserve">L800: Copia 3 — autenticación en /api/tickets/{id}/calificar</w:t>
      </w:r>
    </w:p>
    <w:p>
      <w:pPr>
        <w:pStyle w:val="ListParagraph"/>
        <w:numPr>
          <w:ilvl w:val="0"/>
          <w:numId w:val="2"/>
        </w:numPr>
        <w:spacing w:after="80"/>
      </w:pPr>
      <w:r>
        <w:rPr>
          <w:sz w:val="22"/>
          <w:szCs w:val="22"/>
        </w:rPr>
        <w:t xml:space="preserve">L855: Copia 4 — autenticación en /api/clientes/mis-tickets</w:t>
      </w:r>
    </w:p>
    <w:p>
      <w:pPr>
        <w:pStyle w:val="ListParagraph"/>
        <w:numPr>
          <w:ilvl w:val="0"/>
          <w:numId w:val="2"/>
        </w:numPr>
        <w:spacing w:after="80"/>
      </w:pPr>
      <w:r>
        <w:rPr>
          <w:sz w:val="22"/>
          <w:szCs w:val="22"/>
        </w:rPr>
        <w:t xml:space="preserve">L908: Copia 5 — autenticación en /api/alquileres</w:t>
      </w:r>
    </w:p>
    <w:p>
      <w:pPr>
        <w:pStyle w:val="ListParagraph"/>
        <w:numPr>
          <w:ilvl w:val="0"/>
          <w:numId w:val="2"/>
        </w:numPr>
        <w:spacing w:after="80"/>
      </w:pPr>
      <w:r>
        <w:rPr>
          <w:sz w:val="22"/>
          <w:szCs w:val="22"/>
        </w:rPr>
        <w:t xml:space="preserve">L1055: Copia 6 — autenticación en /api/pagos</w:t>
      </w:r>
    </w:p>
    <w:p>
      <w:pPr>
        <w:pStyle w:val="ListParagraph"/>
        <w:numPr>
          <w:ilvl w:val="0"/>
          <w:numId w:val="2"/>
        </w:numPr>
        <w:spacing w:after="80"/>
      </w:pPr>
      <w:r>
        <w:rPr>
          <w:sz w:val="22"/>
          <w:szCs w:val="22"/>
        </w:rPr>
        <w:t xml:space="preserve">L1128: Copia 7 — autenticación en /api/admin/dashboard</w:t>
      </w:r>
    </w:p>
    <w:p>
      <w:pPr>
        <w:spacing w:after="60"/>
      </w:pPr>
      <w:r>
        <w:t xml:space="preserve"/>
      </w:r>
    </w:p>
    <w:p>
      <w:pPr>
        <w:pStyle w:val="Heading3"/>
      </w:pPr>
      <w:r>
        <w:rPr>
          <w:rFonts w:ascii="Arial" w:cs="Arial" w:eastAsia="Arial" w:hAnsi="Arial"/>
          <w:b/>
          <w:bCs/>
          <w:color w:val="0E0E0E"/>
          <w:sz w:val="24"/>
          <w:szCs w:val="24"/>
        </w:rPr>
        <w:t xml:space="preserve">V-04 — Infraestructura Acoplada (12 violaciones)</w:t>
      </w:r>
    </w:p>
    <w:p>
      <w:pPr>
        <w:spacing w:after="120"/>
      </w:pPr>
      <w:r>
        <w:rPr>
          <w:i/>
          <w:iCs/>
          <w:color w:val="706860"/>
          <w:sz w:val="22"/>
          <w:szCs w:val="22"/>
        </w:rPr>
        <w:t xml:space="preserve">Servicios externos (SMTP, WhatsApp, Wompi, CRM) invocados desde el núcleo de negocio.</w:t>
      </w:r>
    </w:p>
    <w:p>
      <w:pPr>
        <w:spacing w:after="140"/>
      </w:pPr>
      <w:r>
        <w:rPr>
          <w:b/>
          <w:bCs/>
          <w:color w:val="0E0E0E"/>
        </w:rPr>
        <w:t xml:space="preserve">Ejemplos representativos con referencia de línea:</w:t>
      </w:r>
    </w:p>
    <w:p>
      <w:pPr>
        <w:pStyle w:val="ListParagraph"/>
        <w:numPr>
          <w:ilvl w:val="0"/>
          <w:numId w:val="2"/>
        </w:numPr>
        <w:spacing w:after="80"/>
      </w:pPr>
      <w:r>
        <w:rPr>
          <w:sz w:val="22"/>
          <w:szCs w:val="22"/>
        </w:rPr>
        <w:t xml:space="preserve">L264: smtplib.SMTP() con credenciales hardcoded en /registrar</w:t>
      </w:r>
    </w:p>
    <w:p>
      <w:pPr>
        <w:pStyle w:val="ListParagraph"/>
        <w:numPr>
          <w:ilvl w:val="0"/>
          <w:numId w:val="2"/>
        </w:numPr>
        <w:spacing w:after="80"/>
      </w:pPr>
      <w:r>
        <w:rPr>
          <w:sz w:val="22"/>
          <w:szCs w:val="22"/>
        </w:rPr>
        <w:t xml:space="preserve">L276: requests.post(WHATSAPP_API) en /registrar</w:t>
      </w:r>
    </w:p>
    <w:p>
      <w:pPr>
        <w:pStyle w:val="ListParagraph"/>
        <w:numPr>
          <w:ilvl w:val="0"/>
          <w:numId w:val="2"/>
        </w:numPr>
        <w:spacing w:after="80"/>
      </w:pPr>
      <w:r>
        <w:rPr>
          <w:sz w:val="22"/>
          <w:szCs w:val="22"/>
        </w:rPr>
        <w:t xml:space="preserve">L292: requests.post(WEBHOOK_CRM) en /registrar</w:t>
      </w:r>
    </w:p>
    <w:p>
      <w:pPr>
        <w:pStyle w:val="ListParagraph"/>
        <w:numPr>
          <w:ilvl w:val="0"/>
          <w:numId w:val="2"/>
        </w:numPr>
        <w:spacing w:after="80"/>
      </w:pPr>
      <w:r>
        <w:rPr>
          <w:sz w:val="22"/>
          <w:szCs w:val="22"/>
        </w:rPr>
        <w:t xml:space="preserve">L1072: requests.post(WOMPI_API) para procesar pago en /pagos</w:t>
      </w:r>
    </w:p>
    <w:p>
      <w:pPr>
        <w:pStyle w:val="ListParagraph"/>
        <w:numPr>
          <w:ilvl w:val="0"/>
          <w:numId w:val="2"/>
        </w:numPr>
        <w:spacing w:after="80"/>
      </w:pPr>
      <w:r>
        <w:rPr>
          <w:sz w:val="22"/>
          <w:szCs w:val="22"/>
        </w:rPr>
        <w:t xml:space="preserve">L1224: _enviar_email() con SMTP_PASS hardcoded en main.py</w:t>
      </w:r>
    </w:p>
    <w:p>
      <w:pPr>
        <w:spacing w:after="60"/>
      </w:pPr>
      <w:r>
        <w:t xml:space="preserve"/>
      </w:r>
    </w:p>
    <w:p>
      <w:pPr>
        <w:pStyle w:val="Heading3"/>
      </w:pPr>
      <w:r>
        <w:rPr>
          <w:rFonts w:ascii="Arial" w:cs="Arial" w:eastAsia="Arial" w:hAnsi="Arial"/>
          <w:b/>
          <w:bCs/>
          <w:color w:val="0E0E0E"/>
          <w:sz w:val="24"/>
          <w:szCs w:val="24"/>
        </w:rPr>
        <w:t xml:space="preserve">V-05 — Credenciales Hardcoded (8 violaciones)</w:t>
      </w:r>
    </w:p>
    <w:p>
      <w:pPr>
        <w:spacing w:after="120"/>
      </w:pPr>
      <w:r>
        <w:rPr>
          <w:i/>
          <w:iCs/>
          <w:color w:val="706860"/>
          <w:sz w:val="22"/>
          <w:szCs w:val="22"/>
        </w:rPr>
        <w:t xml:space="preserve">Secretos y tokens de producción escritos en el código fuente.</w:t>
      </w:r>
    </w:p>
    <w:p>
      <w:pPr>
        <w:spacing w:after="140"/>
      </w:pPr>
      <w:r>
        <w:rPr>
          <w:b/>
          <w:bCs/>
          <w:color w:val="0E0E0E"/>
        </w:rPr>
        <w:t xml:space="preserve">Ejemplos representativos con referencia de línea:</w:t>
      </w:r>
    </w:p>
    <w:p>
      <w:pPr>
        <w:pStyle w:val="ListParagraph"/>
        <w:numPr>
          <w:ilvl w:val="0"/>
          <w:numId w:val="2"/>
        </w:numPr>
        <w:spacing w:after="80"/>
      </w:pPr>
      <w:r>
        <w:rPr>
          <w:sz w:val="22"/>
          <w:szCs w:val="22"/>
        </w:rPr>
        <w:t xml:space="preserve">L35: DATABASE_URL con usuario y contraseña en texto plano</w:t>
      </w:r>
    </w:p>
    <w:p>
      <w:pPr>
        <w:pStyle w:val="ListParagraph"/>
        <w:numPr>
          <w:ilvl w:val="0"/>
          <w:numId w:val="2"/>
        </w:numPr>
        <w:spacing w:after="80"/>
      </w:pPr>
      <w:r>
        <w:rPr>
          <w:sz w:val="22"/>
          <w:szCs w:val="22"/>
        </w:rPr>
        <w:t xml:space="preserve">L40: SMTP_PASS = "smtp_pass_techpro_2026" en main.py</w:t>
      </w:r>
    </w:p>
    <w:p>
      <w:pPr>
        <w:pStyle w:val="ListParagraph"/>
        <w:numPr>
          <w:ilvl w:val="0"/>
          <w:numId w:val="2"/>
        </w:numPr>
        <w:spacing w:after="80"/>
      </w:pPr>
      <w:r>
        <w:rPr>
          <w:sz w:val="22"/>
          <w:szCs w:val="22"/>
        </w:rPr>
        <w:t xml:space="preserve">L41: WHATSAPP_TOKEN = "WHATSAPP_BTOKEN_TECHPRO_XYZ123" en main.py</w:t>
      </w:r>
    </w:p>
    <w:p>
      <w:pPr>
        <w:pStyle w:val="ListParagraph"/>
        <w:numPr>
          <w:ilvl w:val="0"/>
          <w:numId w:val="2"/>
        </w:numPr>
        <w:spacing w:after="80"/>
      </w:pPr>
      <w:r>
        <w:rPr>
          <w:sz w:val="22"/>
          <w:szCs w:val="22"/>
        </w:rPr>
        <w:t xml:space="preserve">L42: WOMPI_KEY = "sk_prod_wompi_key_techpro_abc" en main.py</w:t>
      </w:r>
    </w:p>
    <w:p>
      <w:pPr>
        <w:spacing w:after="60"/>
      </w:pPr>
      <w:r>
        <w:t xml:space="preserve"/>
      </w:r>
    </w:p>
    <w:p>
      <w:pPr>
        <w:pStyle w:val="Heading3"/>
      </w:pPr>
      <w:r>
        <w:rPr>
          <w:rFonts w:ascii="Arial" w:cs="Arial" w:eastAsia="Arial" w:hAnsi="Arial"/>
          <w:b/>
          <w:bCs/>
          <w:color w:val="0E0E0E"/>
          <w:sz w:val="24"/>
          <w:szCs w:val="24"/>
        </w:rPr>
        <w:t xml:space="preserve">V-06 — ORM en Controladores (8 violaciones)</w:t>
      </w:r>
    </w:p>
    <w:p>
      <w:pPr>
        <w:spacing w:after="120"/>
      </w:pPr>
      <w:r>
        <w:rPr>
          <w:i/>
          <w:iCs/>
          <w:color w:val="706860"/>
          <w:sz w:val="22"/>
          <w:szCs w:val="22"/>
        </w:rPr>
        <w:t xml:space="preserve">Instanciación y persistencia de entidades ORM directamente en handlers HTTP.</w:t>
      </w:r>
    </w:p>
    <w:p>
      <w:pPr>
        <w:spacing w:after="140"/>
      </w:pPr>
      <w:r>
        <w:rPr>
          <w:b/>
          <w:bCs/>
          <w:color w:val="0E0E0E"/>
        </w:rPr>
        <w:t xml:space="preserve">Ejemplos representativos con referencia de línea:</w:t>
      </w:r>
    </w:p>
    <w:p>
      <w:pPr>
        <w:pStyle w:val="ListParagraph"/>
        <w:numPr>
          <w:ilvl w:val="0"/>
          <w:numId w:val="2"/>
        </w:numPr>
        <w:spacing w:after="80"/>
      </w:pPr>
      <w:r>
        <w:rPr>
          <w:sz w:val="22"/>
          <w:szCs w:val="22"/>
        </w:rPr>
        <w:t xml:space="preserve">L236: ClienteORM(...) instanciado en el handler de /registrar</w:t>
      </w:r>
    </w:p>
    <w:p>
      <w:pPr>
        <w:pStyle w:val="ListParagraph"/>
        <w:numPr>
          <w:ilvl w:val="0"/>
          <w:numId w:val="2"/>
        </w:numPr>
        <w:spacing w:after="80"/>
      </w:pPr>
      <w:r>
        <w:rPr>
          <w:sz w:val="22"/>
          <w:szCs w:val="22"/>
        </w:rPr>
        <w:t xml:space="preserve">L498: SesionORM(...) creado en el handler de /login</w:t>
      </w:r>
    </w:p>
    <w:p>
      <w:pPr>
        <w:pStyle w:val="ListParagraph"/>
        <w:numPr>
          <w:ilvl w:val="0"/>
          <w:numId w:val="2"/>
        </w:numPr>
        <w:spacing w:after="80"/>
      </w:pPr>
      <w:r>
        <w:rPr>
          <w:sz w:val="22"/>
          <w:szCs w:val="22"/>
        </w:rPr>
        <w:t xml:space="preserve">L615: TicketORM(...) creado en /tickets con cálculos de costo embebidos</w:t>
      </w:r>
    </w:p>
    <w:p>
      <w:pPr>
        <w:pStyle w:val="ListParagraph"/>
        <w:numPr>
          <w:ilvl w:val="0"/>
          <w:numId w:val="2"/>
        </w:numPr>
        <w:spacing w:after="80"/>
      </w:pPr>
      <w:r>
        <w:rPr>
          <w:sz w:val="22"/>
          <w:szCs w:val="22"/>
        </w:rPr>
        <w:t xml:space="preserve">L898: AlquilerEquipoORM(...) creado en /alquileres</w:t>
      </w:r>
    </w:p>
    <w:p>
      <w:pPr>
        <w:spacing w:after="60"/>
      </w:pPr>
      <w:r>
        <w:t xml:space="preserve"/>
      </w:r>
    </w:p>
    <w:p>
      <w:pPr>
        <w:pStyle w:val="Heading3"/>
      </w:pPr>
      <w:r>
        <w:rPr>
          <w:rFonts w:ascii="Arial" w:cs="Arial" w:eastAsia="Arial" w:hAnsi="Arial"/>
          <w:b/>
          <w:bCs/>
          <w:color w:val="0E0E0E"/>
          <w:sz w:val="24"/>
          <w:szCs w:val="24"/>
        </w:rPr>
        <w:t xml:space="preserve">V-07 — Seguridad en Controladores (4 violaciones)</w:t>
      </w:r>
    </w:p>
    <w:p>
      <w:pPr>
        <w:spacing w:after="120"/>
      </w:pPr>
      <w:r>
        <w:rPr>
          <w:i/>
          <w:iCs/>
          <w:color w:val="706860"/>
          <w:sz w:val="22"/>
          <w:szCs w:val="22"/>
        </w:rPr>
        <w:t xml:space="preserve">Hashing de contraseñas y generación de tokens en la capa HTTP.</w:t>
      </w:r>
    </w:p>
    <w:p>
      <w:pPr>
        <w:spacing w:after="140"/>
      </w:pPr>
      <w:r>
        <w:rPr>
          <w:b/>
          <w:bCs/>
          <w:color w:val="0E0E0E"/>
        </w:rPr>
        <w:t xml:space="preserve">Ejemplos representativos con referencia de línea:</w:t>
      </w:r>
    </w:p>
    <w:p>
      <w:pPr>
        <w:pStyle w:val="ListParagraph"/>
        <w:numPr>
          <w:ilvl w:val="0"/>
          <w:numId w:val="2"/>
        </w:numPr>
        <w:spacing w:after="80"/>
      </w:pPr>
      <w:r>
        <w:rPr>
          <w:sz w:val="22"/>
          <w:szCs w:val="22"/>
        </w:rPr>
        <w:t xml:space="preserve">L232: hashlib.sha256(password + salt) en /registrar</w:t>
      </w:r>
    </w:p>
    <w:p>
      <w:pPr>
        <w:pStyle w:val="ListParagraph"/>
        <w:numPr>
          <w:ilvl w:val="0"/>
          <w:numId w:val="2"/>
        </w:numPr>
        <w:spacing w:after="80"/>
      </w:pPr>
      <w:r>
        <w:rPr>
          <w:sz w:val="22"/>
          <w:szCs w:val="22"/>
        </w:rPr>
        <w:t xml:space="preserve">L338: secrets.token_urlsafe(32) para token de verificación en /registrar</w:t>
      </w:r>
    </w:p>
    <w:p>
      <w:pPr>
        <w:pStyle w:val="ListParagraph"/>
        <w:numPr>
          <w:ilvl w:val="0"/>
          <w:numId w:val="2"/>
        </w:numPr>
        <w:spacing w:after="80"/>
      </w:pPr>
      <w:r>
        <w:rPr>
          <w:sz w:val="22"/>
          <w:szCs w:val="22"/>
        </w:rPr>
        <w:t xml:space="preserve">L477: Comparación de hash en /login</w:t>
      </w:r>
    </w:p>
    <w:p>
      <w:pPr>
        <w:pStyle w:val="ListParagraph"/>
        <w:numPr>
          <w:ilvl w:val="0"/>
          <w:numId w:val="2"/>
        </w:numPr>
        <w:spacing w:after="80"/>
      </w:pPr>
      <w:r>
        <w:rPr>
          <w:sz w:val="22"/>
          <w:szCs w:val="22"/>
        </w:rPr>
        <w:t xml:space="preserve">L498: Generación de JWT de sesión en /login</w:t>
      </w:r>
    </w:p>
    <w:p>
      <w:pPr>
        <w:spacing w:after="60"/>
      </w:pPr>
      <w:r>
        <w:t xml:space="preserve"/>
      </w:r>
    </w:p>
    <w:p>
      <w:pPr>
        <w:pStyle w:val="Heading3"/>
      </w:pPr>
      <w:r>
        <w:rPr>
          <w:rFonts w:ascii="Arial" w:cs="Arial" w:eastAsia="Arial" w:hAnsi="Arial"/>
          <w:b/>
          <w:bCs/>
          <w:color w:val="0E0E0E"/>
          <w:sz w:val="24"/>
          <w:szCs w:val="24"/>
        </w:rPr>
        <w:t xml:space="preserve">V-08 — Métricas de Negocio en Controladores (6 violaciones)</w:t>
      </w:r>
    </w:p>
    <w:p>
      <w:pPr>
        <w:spacing w:after="120"/>
      </w:pPr>
      <w:r>
        <w:rPr>
          <w:i/>
          <w:iCs/>
          <w:color w:val="706860"/>
          <w:sz w:val="22"/>
          <w:szCs w:val="22"/>
        </w:rPr>
        <w:t xml:space="preserve">Cálculos analíticos que deberían ser servicios independientes embebidos en endpoints.</w:t>
      </w:r>
    </w:p>
    <w:p>
      <w:pPr>
        <w:spacing w:after="140"/>
      </w:pPr>
      <w:r>
        <w:rPr>
          <w:b/>
          <w:bCs/>
          <w:color w:val="0E0E0E"/>
        </w:rPr>
        <w:t xml:space="preserve">Ejemplos representativos con referencia de línea:</w:t>
      </w:r>
    </w:p>
    <w:p>
      <w:pPr>
        <w:pStyle w:val="ListParagraph"/>
        <w:numPr>
          <w:ilvl w:val="0"/>
          <w:numId w:val="2"/>
        </w:numPr>
        <w:spacing w:after="80"/>
      </w:pPr>
      <w:r>
        <w:rPr>
          <w:sz w:val="22"/>
          <w:szCs w:val="22"/>
        </w:rPr>
        <w:t xml:space="preserve">L873: Cálculo de tickets pendientes, en proceso y resueltos en /mis-tickets</w:t>
      </w:r>
    </w:p>
    <w:p>
      <w:pPr>
        <w:pStyle w:val="ListParagraph"/>
        <w:numPr>
          <w:ilvl w:val="0"/>
          <w:numId w:val="2"/>
        </w:numPr>
        <w:spacing w:after="80"/>
      </w:pPr>
      <w:r>
        <w:rPr>
          <w:sz w:val="22"/>
          <w:szCs w:val="22"/>
        </w:rPr>
        <w:t xml:space="preserve">L1134: Métricas de revenue del mes en /admin/dashboard</w:t>
      </w:r>
    </w:p>
    <w:p>
      <w:pPr>
        <w:pStyle w:val="ListParagraph"/>
        <w:numPr>
          <w:ilvl w:val="0"/>
          <w:numId w:val="2"/>
        </w:numPr>
        <w:spacing w:after="80"/>
      </w:pPr>
      <w:r>
        <w:rPr>
          <w:sz w:val="22"/>
          <w:szCs w:val="22"/>
        </w:rPr>
        <w:t xml:space="preserve">L1158: Tasa de resolución calculada con SQL directo en /admin/dashboard</w:t>
      </w:r>
    </w:p>
    <w:p>
      <w:pPr>
        <w:pStyle w:val="ListParagraph"/>
        <w:numPr>
          <w:ilvl w:val="0"/>
          <w:numId w:val="2"/>
        </w:numPr>
        <w:spacing w:after="80"/>
      </w:pPr>
      <w:r>
        <w:rPr>
          <w:sz w:val="22"/>
          <w:szCs w:val="22"/>
        </w:rPr>
        <w:t xml:space="preserve">L1166: Tiempo promedio de resolución en /admin/dashboard</w:t>
      </w:r>
    </w:p>
    <w:p>
      <w:pPr>
        <w:spacing w:after="60"/>
      </w:pPr>
      <w:r>
        <w:t xml:space="preserve"/>
      </w:r>
    </w:p>
    <w:p>
      <w:pPr>
        <w:pStyle w:val="Heading3"/>
      </w:pPr>
      <w:r>
        <w:rPr>
          <w:rFonts w:ascii="Arial" w:cs="Arial" w:eastAsia="Arial" w:hAnsi="Arial"/>
          <w:b/>
          <w:bCs/>
          <w:color w:val="0E0E0E"/>
          <w:sz w:val="24"/>
          <w:szCs w:val="24"/>
        </w:rPr>
        <w:t xml:space="preserve">V-09 — Errores Silenciados (4 violaciones)</w:t>
      </w:r>
    </w:p>
    <w:p>
      <w:pPr>
        <w:spacing w:after="120"/>
      </w:pPr>
      <w:r>
        <w:rPr>
          <w:i/>
          <w:iCs/>
          <w:color w:val="706860"/>
          <w:sz w:val="22"/>
          <w:szCs w:val="22"/>
        </w:rPr>
        <w:t xml:space="preserve">Bloques try/except que ocultan fallos de infraestructura sin logging adecuado.</w:t>
      </w:r>
    </w:p>
    <w:p>
      <w:pPr>
        <w:spacing w:after="140"/>
      </w:pPr>
      <w:r>
        <w:rPr>
          <w:b/>
          <w:bCs/>
          <w:color w:val="0E0E0E"/>
        </w:rPr>
        <w:t xml:space="preserve">Ejemplos representativos con referencia de línea:</w:t>
      </w:r>
    </w:p>
    <w:p>
      <w:pPr>
        <w:pStyle w:val="ListParagraph"/>
        <w:numPr>
          <w:ilvl w:val="0"/>
          <w:numId w:val="2"/>
        </w:numPr>
        <w:spacing w:after="80"/>
      </w:pPr>
      <w:r>
        <w:rPr>
          <w:sz w:val="22"/>
          <w:szCs w:val="22"/>
        </w:rPr>
        <w:t xml:space="preserve">L1238: except Exception: pass en _enviar_email() — fallo SMTP invisible</w:t>
      </w:r>
    </w:p>
    <w:p>
      <w:pPr>
        <w:pStyle w:val="ListParagraph"/>
        <w:numPr>
          <w:ilvl w:val="0"/>
          <w:numId w:val="2"/>
        </w:numPr>
        <w:spacing w:after="80"/>
      </w:pPr>
      <w:r>
        <w:rPr>
          <w:sz w:val="22"/>
          <w:szCs w:val="22"/>
        </w:rPr>
        <w:t xml:space="preserve">L1263: except: pass en _enviar_whatsapp() — fallo WhatsApp invisible</w:t>
      </w:r>
    </w:p>
    <w:p>
      <w:pPr>
        <w:pStyle w:val="ListParagraph"/>
        <w:numPr>
          <w:ilvl w:val="0"/>
          <w:numId w:val="2"/>
        </w:numPr>
        <w:spacing w:after="80"/>
      </w:pPr>
      <w:r>
        <w:rPr>
          <w:sz w:val="22"/>
          <w:szCs w:val="22"/>
        </w:rPr>
        <w:t xml:space="preserve">L646: Email de confirmación sin manejo de error en /tickets</w:t>
      </w:r>
    </w:p>
    <w:p>
      <w:pPr>
        <w:spacing w:after="60"/>
      </w:pPr>
      <w:r>
        <w:t xml:space="preserve"/>
      </w:r>
    </w:p>
    <w:p>
      <w:r>
        <w:br w:type="page"/>
      </w:r>
    </w:p>
    <w:p>
      <w:pPr>
        <w:pStyle w:val="Heading1"/>
      </w:pPr>
      <w:r>
        <w:rPr>
          <w:rFonts w:ascii="Arial" w:cs="Arial" w:eastAsia="Arial" w:hAnsi="Arial"/>
          <w:b/>
          <w:bCs/>
          <w:color w:val="0E0E0E"/>
          <w:sz w:val="36"/>
          <w:szCs w:val="36"/>
        </w:rPr>
        <w:t xml:space="preserve">4. Arquitectura Hexagonal Propuesta</w:t>
      </w:r>
    </w:p>
    <w:p>
      <w:pPr>
        <w:pBdr>
          <w:bottom w:val="single" w:color="D4CCB0" w:sz="4" w:space="1"/>
        </w:pBdr>
        <w:spacing w:after="200"/>
      </w:pPr>
      <w:r>
        <w:t xml:space="preserve"/>
      </w:r>
    </w:p>
    <w:p>
      <w:pPr>
        <w:spacing w:after="140"/>
      </w:pPr>
      <w:r>
        <w:rPr>
          <w:sz w:val="22"/>
          <w:szCs w:val="22"/>
        </w:rPr>
        <w:t xml:space="preserve">La </w:t>
      </w:r>
      <w:r>
        <w:rPr>
          <w:b/>
          <w:bCs/>
          <w:color w:val="0E0E0E"/>
        </w:rPr>
        <w:t xml:space="preserve">Arquitectura Hexagonal (Ports &amp; Adapters)</w:t>
      </w:r>
      <w:r>
        <w:rPr>
          <w:sz w:val="22"/>
          <w:szCs w:val="22"/>
        </w:rPr>
        <w:t xml:space="preserve">, propuesta por Alistair Cockburn, establece que el núcleo del dominio no debe depender de ningún detalle de infraestructura. Toda comunicación con el exterior (HTTP, base de datos, servicios externos) se realiza a través de puertos (interfaces) e implementada por adaptadores intercambiables.</w:t>
      </w:r>
    </w:p>
    <w:p>
      <w:pPr>
        <w:spacing w:after="60"/>
      </w:pPr>
      <w:r>
        <w:t xml:space="preserve"/>
      </w:r>
    </w:p>
    <w:p>
      <w:pPr>
        <w:pStyle w:val="Heading2"/>
      </w:pPr>
      <w:r>
        <w:rPr>
          <w:rFonts w:ascii="Arial" w:cs="Arial" w:eastAsia="Arial" w:hAnsi="Arial"/>
          <w:b/>
          <w:bCs/>
          <w:color w:val="0E0E0E"/>
          <w:sz w:val="28"/>
          <w:szCs w:val="28"/>
        </w:rPr>
        <w:t xml:space="preserve">4.1 Principio Central</w:t>
      </w:r>
    </w:p>
    <w:p>
      <w:pPr>
        <w:spacing w:after="140"/>
      </w:pPr>
      <w:r>
        <w:rPr>
          <w:b/>
          <w:bCs/>
          <w:color w:val="0E0E0E"/>
        </w:rPr>
        <w:t xml:space="preserve">Regla de oro: </w:t>
      </w:r>
      <w:r>
        <w:rPr>
          <w:sz w:val="22"/>
          <w:szCs w:val="22"/>
        </w:rPr>
        <w:t xml:space="preserve">Las capas internas (domínio, aplicación) no importan nada de las capas externas. Las dependencias apuntan siempre hacia adentro.</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Capa</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Responsabilidad</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No conoce</w:t>
            </w:r>
          </w:p>
        </w:tc>
      </w:tr>
      <w:tr>
        <w:tc>
          <w:tcPr>
            <w:tcBorders>
              <w:top w:val="single" w:color="CCCCCC" w:sz="4"/>
              <w:left w:val="single" w:color="CCCCCC" w:sz="4"/>
              <w:bottom w:val="single" w:color="CCCCCC" w:sz="4"/>
              <w:right w:val="single" w:color="CCCCCC" w:sz="4"/>
            </w:tcBorders>
            <w:shd w:fill="FFF7ED" w:val="clear"/>
            <w:tcMar>
              <w:top w:type="dxa" w:w="80"/>
              <w:left w:type="dxa" w:w="150"/>
              <w:bottom w:type="dxa" w:w="80"/>
              <w:right w:type="dxa" w:w="150"/>
            </w:tcMar>
          </w:tcPr>
          <w:p>
            <w:r>
              <w:rPr>
                <w:b/>
                <w:bCs/>
                <w:color w:val="FF4500"/>
                <w:sz w:val="20"/>
                <w:szCs w:val="20"/>
              </w:rPr>
              <w:t xml:space="preserve">Domínio</w:t>
            </w:r>
          </w:p>
        </w:tc>
        <w:tc>
          <w:tcPr>
            <w:tcBorders>
              <w:top w:val="single" w:color="CCCCCC" w:sz="4"/>
              <w:left w:val="single" w:color="CCCCCC" w:sz="4"/>
              <w:bottom w:val="single" w:color="CCCCCC" w:sz="4"/>
              <w:right w:val="single" w:color="CCCCCC" w:sz="4"/>
            </w:tcBorders>
            <w:shd w:fill="FFF7ED" w:val="clear"/>
            <w:tcMar>
              <w:top w:type="dxa" w:w="80"/>
              <w:left w:type="dxa" w:w="150"/>
              <w:bottom w:type="dxa" w:w="80"/>
              <w:right w:type="dxa" w:w="150"/>
            </w:tcMar>
          </w:tcPr>
          <w:p>
            <w:r>
              <w:rPr>
                <w:color w:val="0E0E0E"/>
                <w:sz w:val="20"/>
                <w:szCs w:val="20"/>
              </w:rPr>
              <w:t xml:space="preserve">Entidades, reglas de negocio, máquina de estados, cálculos de costo</w:t>
            </w:r>
          </w:p>
        </w:tc>
        <w:tc>
          <w:tcPr>
            <w:tcBorders>
              <w:top w:val="single" w:color="CCCCCC" w:sz="4"/>
              <w:left w:val="single" w:color="CCCCCC" w:sz="4"/>
              <w:bottom w:val="single" w:color="CCCCCC" w:sz="4"/>
              <w:right w:val="single" w:color="CCCCCC" w:sz="4"/>
            </w:tcBorders>
            <w:shd w:fill="FFF7ED" w:val="clear"/>
            <w:tcMar>
              <w:top w:type="dxa" w:w="80"/>
              <w:left w:type="dxa" w:w="150"/>
              <w:bottom w:type="dxa" w:w="80"/>
              <w:right w:type="dxa" w:w="150"/>
            </w:tcMar>
          </w:tcPr>
          <w:p>
            <w:r>
              <w:rPr>
                <w:color w:val="0E0E0E"/>
                <w:sz w:val="20"/>
                <w:szCs w:val="20"/>
              </w:rPr>
              <w:t xml:space="preserve">HTTP, SQL, email, WhatsApp, framework</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Aplicación</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Casos de uso: registrar cliente, crear ticket, procesar alquiler</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FastAPI, SQLAlchemy, Wompi</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Infraestructura</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Repositorios SQL, adaptadores SMTP, WhatsApp, Wompi</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Dominio (depende solo de puertos)</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Interfaz</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Controladores FastAPI, CLI, tareas programadas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Base de datos, servicios externos</w:t>
            </w:r>
          </w:p>
        </w:tc>
      </w:tr>
    </w:tbl>
    <w:p>
      <w:pPr>
        <w:spacing w:after="120"/>
      </w:pPr>
      <w:r>
        <w:t xml:space="preserve"/>
      </w:r>
    </w:p>
    <w:p>
      <w:pPr>
        <w:pStyle w:val="Heading2"/>
      </w:pPr>
      <w:r>
        <w:rPr>
          <w:rFonts w:ascii="Arial" w:cs="Arial" w:eastAsia="Arial" w:hAnsi="Arial"/>
          <w:b/>
          <w:bCs/>
          <w:color w:val="0E0E0E"/>
          <w:sz w:val="28"/>
          <w:szCs w:val="28"/>
        </w:rPr>
        <w:t xml:space="preserve">4.2 Diagrama de Capas</w:t>
      </w:r>
    </w:p>
    <w:p>
      <w:pPr>
        <w:spacing w:after="140"/>
      </w:pPr>
      <w:r>
        <w:rPr>
          <w:sz w:val="22"/>
          <w:szCs w:val="22"/>
        </w:rPr>
        <w:t xml:space="preserve">La siguiente tabla representa la estructura de dependencias: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0E0E0E" w:val="clear"/>
            <w:tcMar>
              <w:top w:type="dxa" w:w="120"/>
              <w:left w:type="dxa" w:w="200"/>
              <w:bottom w:type="dxa" w:w="120"/>
              <w:right w:type="dxa" w:w="200"/>
            </w:tcMar>
          </w:tcPr>
          <w:p>
            <w:pPr>
              <w:spacing w:after="60"/>
              <w:jc w:val="center"/>
            </w:pPr>
            <w:r>
              <w:rPr>
                <w:b/>
                <w:bCs/>
                <w:color w:val="FFFFFF"/>
                <w:sz w:val="22"/>
                <w:szCs w:val="22"/>
              </w:rPr>
              <w:t xml:space="preserve">INTERFAZ (FastAPI Controllers / CLI)</w:t>
            </w:r>
          </w:p>
          <w:p>
            <w:pPr>
              <w:spacing w:after="60"/>
              <w:jc w:val="center"/>
            </w:pPr>
            <w:r>
              <w:rPr>
                <w:color w:val="FF4500"/>
                <w:sz w:val="18"/>
                <w:szCs w:val="18"/>
              </w:rPr>
              <w:t xml:space="preserve">↓↓ invoca ↓↓</w:t>
            </w:r>
          </w:p>
          <w:p>
            <w:pPr>
              <w:spacing w:after="60"/>
              <w:jc w:val="center"/>
            </w:pPr>
            <w:r>
              <w:rPr>
                <w:b/>
                <w:bCs/>
                <w:color w:val="FFFFFF"/>
                <w:sz w:val="22"/>
                <w:szCs w:val="22"/>
              </w:rPr>
              <w:t xml:space="preserve">APLICACIÓN (Casos de Uso — Servicios de Aplicación)</w:t>
            </w:r>
          </w:p>
          <w:p>
            <w:pPr>
              <w:spacing w:after="60"/>
              <w:jc w:val="center"/>
            </w:pPr>
            <w:r>
              <w:rPr>
                <w:color w:val="FF4500"/>
                <w:sz w:val="18"/>
                <w:szCs w:val="18"/>
              </w:rPr>
              <w:t xml:space="preserve">↓↓ invoca puertos ↓↓</w:t>
            </w:r>
          </w:p>
          <w:p>
            <w:pPr>
              <w:spacing w:after="60"/>
              <w:jc w:val="center"/>
            </w:pPr>
            <w:r>
              <w:rPr>
                <w:b/>
                <w:bCs/>
                <w:color w:val="FF4500"/>
                <w:sz w:val="22"/>
                <w:szCs w:val="22"/>
              </w:rPr>
              <w:t xml:space="preserve">DOMÍNIO (Entidades + Reglas de Negocio + Puertos)</w:t>
            </w:r>
          </w:p>
          <w:p>
            <w:pPr>
              <w:spacing w:after="60"/>
              <w:jc w:val="center"/>
            </w:pPr>
            <w:r>
              <w:rPr>
                <w:color w:val="AAAAAA"/>
                <w:sz w:val="18"/>
                <w:szCs w:val="18"/>
              </w:rPr>
              <w:t xml:space="preserve">↑↑ implementa puertos ↑↑</w:t>
            </w:r>
          </w:p>
          <w:p>
            <w:pPr>
              <w:spacing w:after="0"/>
              <w:jc w:val="center"/>
            </w:pPr>
            <w:r>
              <w:rPr>
                <w:b/>
                <w:bCs/>
                <w:color w:val="AAAAAA"/>
                <w:sz w:val="22"/>
                <w:szCs w:val="22"/>
              </w:rPr>
              <w:t xml:space="preserve">INFRAESTRUCTURA (SQL, SMTP, WhatsApp, Wompi)</w:t>
            </w:r>
          </w:p>
        </w:tc>
      </w:tr>
    </w:tbl>
    <w:p>
      <w:pPr>
        <w:spacing w:after="120"/>
      </w:pPr>
      <w:r>
        <w:t xml:space="preserve"/>
      </w:r>
    </w:p>
    <w:p>
      <w:pPr>
        <w:pStyle w:val="Heading2"/>
      </w:pPr>
      <w:r>
        <w:rPr>
          <w:rFonts w:ascii="Arial" w:cs="Arial" w:eastAsia="Arial" w:hAnsi="Arial"/>
          <w:b/>
          <w:bCs/>
          <w:color w:val="0E0E0E"/>
          <w:sz w:val="28"/>
          <w:szCs w:val="28"/>
        </w:rPr>
        <w:t xml:space="preserve">4.3 Catálogo de Puertos</w:t>
      </w:r>
    </w:p>
    <w:p>
      <w:pPr>
        <w:spacing w:after="140"/>
      </w:pPr>
      <w:r>
        <w:rPr>
          <w:sz w:val="22"/>
          <w:szCs w:val="22"/>
        </w:rPr>
        <w:t xml:space="preserve">Los </w:t>
      </w:r>
      <w:r>
        <w:rPr>
          <w:b/>
          <w:bCs/>
          <w:color w:val="0E0E0E"/>
        </w:rPr>
        <w:t xml:space="preserve">puertos de entrada (Input Ports)</w:t>
      </w:r>
      <w:r>
        <w:rPr>
          <w:sz w:val="22"/>
          <w:szCs w:val="22"/>
        </w:rPr>
        <w:t xml:space="preserve"> definen las operaciones que el sistema ofrece al mundo exterior. Los </w:t>
      </w:r>
      <w:r>
        <w:rPr>
          <w:b/>
          <w:bCs/>
          <w:color w:val="0E0E0E"/>
        </w:rPr>
        <w:t xml:space="preserve">puertos de salida (Output Ports)</w:t>
      </w:r>
      <w:r>
        <w:rPr>
          <w:sz w:val="22"/>
          <w:szCs w:val="22"/>
        </w:rPr>
        <w:t xml:space="preserve"> definen lo que el dominio necesita de la infraestructura.</w:t>
      </w:r>
    </w:p>
    <w:p>
      <w:pPr>
        <w:spacing w:after="60"/>
      </w:pPr>
      <w:r>
        <w:t xml:space="preserve"/>
      </w:r>
    </w:p>
    <w:p>
      <w:pPr>
        <w:pStyle w:val="Heading3"/>
      </w:pPr>
      <w:r>
        <w:rPr>
          <w:rFonts w:ascii="Arial" w:cs="Arial" w:eastAsia="Arial" w:hAnsi="Arial"/>
          <w:b/>
          <w:bCs/>
          <w:color w:val="0E0E0E"/>
          <w:sz w:val="24"/>
          <w:szCs w:val="24"/>
        </w:rPr>
        <w:t xml:space="preserve">Puertos de Entrada (Driving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c>
          <w:tcPr>
            <w:tcBorders>
              <w:top w:val="single" w:color="CCCCCC" w:sz="4"/>
              <w:left w:val="single" w:color="CCCCCC" w:sz="4"/>
              <w:bottom w:val="single" w:color="CCCCCC" w:sz="4"/>
              <w:right w:val="single" w:color="CCCCCC" w:sz="4"/>
            </w:tcBorders>
            <w:shd w:fill="FF4500" w:val="clear"/>
            <w:tcMar>
              <w:top w:type="dxa" w:w="100"/>
              <w:left w:type="dxa" w:w="150"/>
              <w:bottom w:type="dxa" w:w="100"/>
              <w:right w:type="dxa" w:w="150"/>
            </w:tcMar>
          </w:tcPr>
          <w:p>
            <w:r>
              <w:rPr>
                <w:b/>
                <w:bCs/>
                <w:color w:val="FFFFFF"/>
                <w:sz w:val="20"/>
                <w:szCs w:val="20"/>
              </w:rPr>
              <w:t xml:space="preserve">Puerto</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Métodos principales</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Adaptador</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IClienteService</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registrar(), login(), verificar()</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FastAPI /clientes/*</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ITicketService</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crear(), actualizarEstado(), calificar()</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FastAPI /tickets/*</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IAlquilerService</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crear(), devolver(), listarActivos()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FastAPI /alquileres/*</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IPagoService</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procesar(), confirmar(), reembolsar()</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FastAPI /pagos/*</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IAdminService</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dashboard(), reporteIngresos()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FastAPI /admin/*</w:t>
            </w:r>
          </w:p>
        </w:tc>
      </w:tr>
    </w:tbl>
    <w:p>
      <w:pPr>
        <w:spacing w:after="120"/>
      </w:pPr>
      <w:r>
        <w:t xml:space="preserve"/>
      </w:r>
    </w:p>
    <w:p>
      <w:pPr>
        <w:pStyle w:val="Heading3"/>
      </w:pPr>
      <w:r>
        <w:rPr>
          <w:rFonts w:ascii="Arial" w:cs="Arial" w:eastAsia="Arial" w:hAnsi="Arial"/>
          <w:b/>
          <w:bCs/>
          <w:color w:val="0E0E0E"/>
          <w:sz w:val="24"/>
          <w:szCs w:val="24"/>
        </w:rPr>
        <w:t xml:space="preserve">Puertos de Salida (Driven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Puerto</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Métodos principales</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Adaptador concreto</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IClienteRepository</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guardar(), buscarPorEmail()</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PostgreSQLClienteRepo</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ITicketRepository</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guardar(), buscarPorId(), asignarTecnico()</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PostgreSQLTicketRepo</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IAlquilerRepository</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guardar(), buscarActivos()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PostgreSQLAlquilerRepo</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INotificacionService</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enviarEmail(), enviarWhatsApp()</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SMTPAdapter + WaAdapter</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IPagoGateway</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procesarTarjeta(), verificar()</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WompiAdapter</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ITokenService</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generar(), verificar(), revocar()</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JWTAdapter</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IAuditoriaRepository</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registrar()</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PostgreSQLAuditoriaRepo</w:t>
            </w:r>
          </w:p>
        </w:tc>
      </w:tr>
    </w:tbl>
    <w:p>
      <w:pPr>
        <w:spacing w:after="120"/>
      </w:pPr>
      <w:r>
        <w:t xml:space="preserve"/>
      </w:r>
    </w:p>
    <w:p>
      <w:pPr>
        <w:pStyle w:val="Heading2"/>
      </w:pPr>
      <w:r>
        <w:rPr>
          <w:rFonts w:ascii="Arial" w:cs="Arial" w:eastAsia="Arial" w:hAnsi="Arial"/>
          <w:b/>
          <w:bCs/>
          <w:color w:val="0E0E0E"/>
          <w:sz w:val="28"/>
          <w:szCs w:val="28"/>
        </w:rPr>
        <w:t xml:space="preserve">4.4 Estructura de Directorios Propuesta</w:t>
      </w:r>
    </w:p>
    <w:p>
      <w:pPr>
        <w:spacing w:after="140"/>
      </w:pPr>
      <w:r>
        <w:rPr>
          <w:sz w:val="22"/>
          <w:szCs w:val="22"/>
        </w:rPr>
        <w:t xml:space="preserve">La siguiente estructura de carpetas implementa la separación de capas:</w:t>
      </w:r>
    </w:p>
    <w:p>
      <w:pPr>
        <w:spacing w:after="60"/>
      </w:pPr>
      <w:r>
        <w:t xml:space="preserve"/>
      </w:r>
    </w:p>
    <w:p>
      <w:pPr>
        <w:shd w:fill="F2EDE5" w:val="clear"/>
        <w:spacing w:before="100" w:after="100"/>
        <w:ind w:left="200" w:right="200"/>
      </w:pPr>
      <w:r>
        <w:rPr>
          <w:rFonts w:ascii="Courier New" w:cs="Courier New" w:eastAsia="Courier New" w:hAnsi="Courier New"/>
          <w:color w:val="0E0E0E"/>
          <w:sz w:val="18"/>
          <w:szCs w:val="18"/>
        </w:rPr>
        <w:t xml:space="preserve">techsupportpro/
  domain/
    entities/          # Cliente, Ticket, Alquiler, Pago
    value_objects/     # Email, Password, COP, Periodo
    ports/             # IClienteRepository, INotificacionService...
    services/          # Reglas de negocio puras
    exceptions/        # TicketNoEncontrado, PlanExcedido...
  application/
    use_cases/         # RegistrarCliente, CrearTicket, ProcesarAlquiler
    dtos/              # RegistrarClienteCommand, CrearTicketCommand
  infrastructure/
    db/                # SQLAlchemy ORM + migraciones Alembic
    email/             # SMTPNotificacionAdapter
    whatsapp/          # WaBusinessAdapter
    payments/          # WompiAdapter
    crm/               # CRMWebhookAdapter
  interface/
    http/              # FastAPI routers + dependencias
    cli/               # Comandos administrativos
  tests/
    unit/              # Tests del dominio (sin infra)
    integration/       # Tests con BD en memoria</w:t>
      </w:r>
    </w:p>
    <w:p>
      <w:r>
        <w:br w:type="page"/>
      </w:r>
    </w:p>
    <w:p>
      <w:pPr>
        <w:pStyle w:val="Heading1"/>
      </w:pPr>
      <w:r>
        <w:rPr>
          <w:rFonts w:ascii="Arial" w:cs="Arial" w:eastAsia="Arial" w:hAnsi="Arial"/>
          <w:b/>
          <w:bCs/>
          <w:color w:val="0E0E0E"/>
          <w:sz w:val="36"/>
          <w:szCs w:val="36"/>
        </w:rPr>
        <w:t xml:space="preserve">5. Análisis Comparativo</w:t>
      </w:r>
    </w:p>
    <w:p>
      <w:pPr>
        <w:pBdr>
          <w:bottom w:val="single" w:color="D4CCB0" w:sz="4" w:space="1"/>
        </w:pBdr>
        <w:spacing w:after="200"/>
      </w:pPr>
      <w:r>
        <w:t xml:space="preserve"/>
      </w:r>
    </w:p>
    <w:p>
      <w:pPr>
        <w:spacing w:after="140"/>
      </w:pPr>
      <w:r>
        <w:rPr>
          <w:sz w:val="22"/>
          <w:szCs w:val="22"/>
        </w:rPr>
        <w:t xml:space="preserve">La siguiente tabla compara el estado actual del monolito con el objetivo de la arquitectura hexagonal propuesta: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Criterio</w:t>
            </w:r>
          </w:p>
        </w:tc>
        <w:tc>
          <w:tcPr>
            <w:tcBorders>
              <w:top w:val="single" w:color="CCCCCC" w:sz="4"/>
              <w:left w:val="single" w:color="CCCCCC" w:sz="4"/>
              <w:bottom w:val="single" w:color="CCCCCC" w:sz="4"/>
              <w:right w:val="single" w:color="CCCCCC" w:sz="4"/>
            </w:tcBorders>
            <w:shd w:fill="DC2626" w:val="clear"/>
            <w:tcMar>
              <w:top w:type="dxa" w:w="100"/>
              <w:left w:type="dxa" w:w="150"/>
              <w:bottom w:type="dxa" w:w="100"/>
              <w:right w:type="dxa" w:w="150"/>
            </w:tcMar>
          </w:tcPr>
          <w:p>
            <w:r>
              <w:rPr>
                <w:b/>
                <w:bCs/>
                <w:color w:val="FFFFFF"/>
                <w:sz w:val="20"/>
                <w:szCs w:val="20"/>
              </w:rPr>
              <w:t xml:space="preserve">Monolito Actual</w:t>
            </w:r>
          </w:p>
        </w:tc>
        <w:tc>
          <w:tcPr>
            <w:tcBorders>
              <w:top w:val="single" w:color="CCCCCC" w:sz="4"/>
              <w:left w:val="single" w:color="CCCCCC" w:sz="4"/>
              <w:bottom w:val="single" w:color="CCCCCC" w:sz="4"/>
              <w:right w:val="single" w:color="CCCCCC" w:sz="4"/>
            </w:tcBorders>
            <w:shd w:fill="16A34A" w:val="clear"/>
            <w:tcMar>
              <w:top w:type="dxa" w:w="100"/>
              <w:left w:type="dxa" w:w="150"/>
              <w:bottom w:type="dxa" w:w="100"/>
              <w:right w:type="dxa" w:w="150"/>
            </w:tcMar>
          </w:tcPr>
          <w:p>
            <w:r>
              <w:rPr>
                <w:b/>
                <w:bCs/>
                <w:color w:val="FFFFFF"/>
                <w:sz w:val="20"/>
                <w:szCs w:val="20"/>
              </w:rPr>
              <w:t xml:space="preserve">Hexagonal Propuesto</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Testabilidad</w:t>
            </w:r>
          </w:p>
        </w:tc>
        <w:tc>
          <w:tcPr>
            <w:tcBorders>
              <w:top w:val="single" w:color="CCCCCC" w:sz="4"/>
              <w:left w:val="single" w:color="CCCCCC" w:sz="4"/>
              <w:bottom w:val="single" w:color="CCCCCC" w:sz="4"/>
              <w:right w:val="single" w:color="CCCCCC" w:sz="4"/>
            </w:tcBorders>
            <w:shd w:fill="FEF2F2" w:val="clear"/>
            <w:tcMar>
              <w:top w:type="dxa" w:w="80"/>
              <w:left w:type="dxa" w:w="150"/>
              <w:bottom w:type="dxa" w:w="80"/>
              <w:right w:type="dxa" w:w="150"/>
            </w:tcMar>
          </w:tcPr>
          <w:p>
            <w:r>
              <w:rPr>
                <w:color w:val="DC2626"/>
                <w:sz w:val="20"/>
                <w:szCs w:val="20"/>
              </w:rPr>
              <w:t xml:space="preserve">Imposible sin BD y servicios activos</w:t>
            </w:r>
          </w:p>
        </w:tc>
        <w:tc>
          <w:tcPr>
            <w:tcBorders>
              <w:top w:val="single" w:color="CCCCCC" w:sz="4"/>
              <w:left w:val="single" w:color="CCCCCC" w:sz="4"/>
              <w:bottom w:val="single" w:color="CCCCCC" w:sz="4"/>
              <w:right w:val="single" w:color="CCCCCC" w:sz="4"/>
            </w:tcBorders>
            <w:shd w:fill="F0FDF4" w:val="clear"/>
            <w:tcMar>
              <w:top w:type="dxa" w:w="80"/>
              <w:left w:type="dxa" w:w="150"/>
              <w:bottom w:type="dxa" w:w="80"/>
              <w:right w:type="dxa" w:w="150"/>
            </w:tcMar>
          </w:tcPr>
          <w:p>
            <w:r>
              <w:rPr>
                <w:color w:val="16A34A"/>
                <w:sz w:val="20"/>
                <w:szCs w:val="20"/>
              </w:rPr>
              <w:t xml:space="preserve">Domínio testable en puro Python sin dependencias</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Cambiar base de datos</w:t>
            </w:r>
          </w:p>
        </w:tc>
        <w:tc>
          <w:tcPr>
            <w:tcBorders>
              <w:top w:val="single" w:color="CCCCCC" w:sz="4"/>
              <w:left w:val="single" w:color="CCCCCC" w:sz="4"/>
              <w:bottom w:val="single" w:color="CCCCCC" w:sz="4"/>
              <w:right w:val="single" w:color="CCCCCC" w:sz="4"/>
            </w:tcBorders>
            <w:shd w:fill="FEF2F2" w:val="clear"/>
            <w:tcMar>
              <w:top w:type="dxa" w:w="80"/>
              <w:left w:type="dxa" w:w="150"/>
              <w:bottom w:type="dxa" w:w="80"/>
              <w:right w:type="dxa" w:w="150"/>
            </w:tcMar>
          </w:tcPr>
          <w:p>
            <w:r>
              <w:rPr>
                <w:color w:val="DC2626"/>
                <w:sz w:val="20"/>
                <w:szCs w:val="20"/>
              </w:rPr>
              <w:t xml:space="preserve">Requiere modificar todos los endpoints</w:t>
            </w:r>
          </w:p>
        </w:tc>
        <w:tc>
          <w:tcPr>
            <w:tcBorders>
              <w:top w:val="single" w:color="CCCCCC" w:sz="4"/>
              <w:left w:val="single" w:color="CCCCCC" w:sz="4"/>
              <w:bottom w:val="single" w:color="CCCCCC" w:sz="4"/>
              <w:right w:val="single" w:color="CCCCCC" w:sz="4"/>
            </w:tcBorders>
            <w:shd w:fill="F0FDF4" w:val="clear"/>
            <w:tcMar>
              <w:top w:type="dxa" w:w="80"/>
              <w:left w:type="dxa" w:w="150"/>
              <w:bottom w:type="dxa" w:w="80"/>
              <w:right w:type="dxa" w:w="150"/>
            </w:tcMar>
          </w:tcPr>
          <w:p>
            <w:r>
              <w:rPr>
                <w:color w:val="16A34A"/>
                <w:sz w:val="20"/>
                <w:szCs w:val="20"/>
              </w:rPr>
              <w:t xml:space="preserve">Solo cambiar el adaptador de repositorio</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Cambiar pasarela de pago</w:t>
            </w:r>
          </w:p>
        </w:tc>
        <w:tc>
          <w:tcPr>
            <w:tcBorders>
              <w:top w:val="single" w:color="CCCCCC" w:sz="4"/>
              <w:left w:val="single" w:color="CCCCCC" w:sz="4"/>
              <w:bottom w:val="single" w:color="CCCCCC" w:sz="4"/>
              <w:right w:val="single" w:color="CCCCCC" w:sz="4"/>
            </w:tcBorders>
            <w:shd w:fill="FEF2F2" w:val="clear"/>
            <w:tcMar>
              <w:top w:type="dxa" w:w="80"/>
              <w:left w:type="dxa" w:w="150"/>
              <w:bottom w:type="dxa" w:w="80"/>
              <w:right w:type="dxa" w:w="150"/>
            </w:tcMar>
          </w:tcPr>
          <w:p>
            <w:r>
              <w:rPr>
                <w:color w:val="DC2626"/>
                <w:sz w:val="20"/>
                <w:szCs w:val="20"/>
              </w:rPr>
              <w:t xml:space="preserve">Editar lógica de negocio de pago</w:t>
            </w:r>
          </w:p>
        </w:tc>
        <w:tc>
          <w:tcPr>
            <w:tcBorders>
              <w:top w:val="single" w:color="CCCCCC" w:sz="4"/>
              <w:left w:val="single" w:color="CCCCCC" w:sz="4"/>
              <w:bottom w:val="single" w:color="CCCCCC" w:sz="4"/>
              <w:right w:val="single" w:color="CCCCCC" w:sz="4"/>
            </w:tcBorders>
            <w:shd w:fill="F0FDF4" w:val="clear"/>
            <w:tcMar>
              <w:top w:type="dxa" w:w="80"/>
              <w:left w:type="dxa" w:w="150"/>
              <w:bottom w:type="dxa" w:w="80"/>
              <w:right w:type="dxa" w:w="150"/>
            </w:tcMar>
          </w:tcPr>
          <w:p>
            <w:r>
              <w:rPr>
                <w:color w:val="16A34A"/>
                <w:sz w:val="20"/>
                <w:szCs w:val="20"/>
              </w:rPr>
              <w:t xml:space="preserve">Crear WompiV2Adapter o PayUAdapter</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Agregar canal de notificación</w:t>
            </w:r>
          </w:p>
        </w:tc>
        <w:tc>
          <w:tcPr>
            <w:tcBorders>
              <w:top w:val="single" w:color="CCCCCC" w:sz="4"/>
              <w:left w:val="single" w:color="CCCCCC" w:sz="4"/>
              <w:bottom w:val="single" w:color="CCCCCC" w:sz="4"/>
              <w:right w:val="single" w:color="CCCCCC" w:sz="4"/>
            </w:tcBorders>
            <w:shd w:fill="FEF2F2" w:val="clear"/>
            <w:tcMar>
              <w:top w:type="dxa" w:w="80"/>
              <w:left w:type="dxa" w:w="150"/>
              <w:bottom w:type="dxa" w:w="80"/>
              <w:right w:type="dxa" w:w="150"/>
            </w:tcMar>
          </w:tcPr>
          <w:p>
            <w:r>
              <w:rPr>
                <w:color w:val="DC2626"/>
                <w:sz w:val="20"/>
                <w:szCs w:val="20"/>
              </w:rPr>
              <w:t xml:space="preserve">Modificar cada endpoint donde se notifica</w:t>
            </w:r>
          </w:p>
        </w:tc>
        <w:tc>
          <w:tcPr>
            <w:tcBorders>
              <w:top w:val="single" w:color="CCCCCC" w:sz="4"/>
              <w:left w:val="single" w:color="CCCCCC" w:sz="4"/>
              <w:bottom w:val="single" w:color="CCCCCC" w:sz="4"/>
              <w:right w:val="single" w:color="CCCCCC" w:sz="4"/>
            </w:tcBorders>
            <w:shd w:fill="F0FDF4" w:val="clear"/>
            <w:tcMar>
              <w:top w:type="dxa" w:w="80"/>
              <w:left w:type="dxa" w:w="150"/>
              <w:bottom w:type="dxa" w:w="80"/>
              <w:right w:type="dxa" w:w="150"/>
            </w:tcMar>
          </w:tcPr>
          <w:p>
            <w:r>
              <w:rPr>
                <w:color w:val="16A34A"/>
                <w:sz w:val="20"/>
                <w:szCs w:val="20"/>
              </w:rPr>
              <w:t xml:space="preserve">Agregar impl. de INotificacionService</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Credenciales y secretos</w:t>
            </w:r>
          </w:p>
        </w:tc>
        <w:tc>
          <w:tcPr>
            <w:tcBorders>
              <w:top w:val="single" w:color="CCCCCC" w:sz="4"/>
              <w:left w:val="single" w:color="CCCCCC" w:sz="4"/>
              <w:bottom w:val="single" w:color="CCCCCC" w:sz="4"/>
              <w:right w:val="single" w:color="CCCCCC" w:sz="4"/>
            </w:tcBorders>
            <w:shd w:fill="FEF2F2" w:val="clear"/>
            <w:tcMar>
              <w:top w:type="dxa" w:w="80"/>
              <w:left w:type="dxa" w:w="150"/>
              <w:bottom w:type="dxa" w:w="80"/>
              <w:right w:type="dxa" w:w="150"/>
            </w:tcMar>
          </w:tcPr>
          <w:p>
            <w:r>
              <w:rPr>
                <w:color w:val="DC2626"/>
                <w:sz w:val="20"/>
                <w:szCs w:val="20"/>
              </w:rPr>
              <w:t xml:space="preserve">Hardcoded en main.py (riesgo crítico)</w:t>
            </w:r>
          </w:p>
        </w:tc>
        <w:tc>
          <w:tcPr>
            <w:tcBorders>
              <w:top w:val="single" w:color="CCCCCC" w:sz="4"/>
              <w:left w:val="single" w:color="CCCCCC" w:sz="4"/>
              <w:bottom w:val="single" w:color="CCCCCC" w:sz="4"/>
              <w:right w:val="single" w:color="CCCCCC" w:sz="4"/>
            </w:tcBorders>
            <w:shd w:fill="F0FDF4" w:val="clear"/>
            <w:tcMar>
              <w:top w:type="dxa" w:w="80"/>
              <w:left w:type="dxa" w:w="150"/>
              <w:bottom w:type="dxa" w:w="80"/>
              <w:right w:type="dxa" w:w="150"/>
            </w:tcMar>
          </w:tcPr>
          <w:p>
            <w:r>
              <w:rPr>
                <w:color w:val="16A34A"/>
                <w:sz w:val="20"/>
                <w:szCs w:val="20"/>
              </w:rPr>
              <w:t xml:space="preserve">Variables de entorno + .env + secrets manager</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Duplicación de código</w:t>
            </w:r>
          </w:p>
        </w:tc>
        <w:tc>
          <w:tcPr>
            <w:tcBorders>
              <w:top w:val="single" w:color="CCCCCC" w:sz="4"/>
              <w:left w:val="single" w:color="CCCCCC" w:sz="4"/>
              <w:bottom w:val="single" w:color="CCCCCC" w:sz="4"/>
              <w:right w:val="single" w:color="CCCCCC" w:sz="4"/>
            </w:tcBorders>
            <w:shd w:fill="FEF2F2" w:val="clear"/>
            <w:tcMar>
              <w:top w:type="dxa" w:w="80"/>
              <w:left w:type="dxa" w:w="150"/>
              <w:bottom w:type="dxa" w:w="80"/>
              <w:right w:type="dxa" w:w="150"/>
            </w:tcMar>
          </w:tcPr>
          <w:p>
            <w:r>
              <w:rPr>
                <w:color w:val="DC2626"/>
                <w:sz w:val="20"/>
                <w:szCs w:val="20"/>
              </w:rPr>
              <w:t xml:space="preserve">7 copias del bloque de autenticación</w:t>
            </w:r>
          </w:p>
        </w:tc>
        <w:tc>
          <w:tcPr>
            <w:tcBorders>
              <w:top w:val="single" w:color="CCCCCC" w:sz="4"/>
              <w:left w:val="single" w:color="CCCCCC" w:sz="4"/>
              <w:bottom w:val="single" w:color="CCCCCC" w:sz="4"/>
              <w:right w:val="single" w:color="CCCCCC" w:sz="4"/>
            </w:tcBorders>
            <w:shd w:fill="F0FDF4" w:val="clear"/>
            <w:tcMar>
              <w:top w:type="dxa" w:w="80"/>
              <w:left w:type="dxa" w:w="150"/>
              <w:bottom w:type="dxa" w:w="80"/>
              <w:right w:type="dxa" w:w="150"/>
            </w:tcMar>
          </w:tcPr>
          <w:p>
            <w:r>
              <w:rPr>
                <w:color w:val="16A34A"/>
                <w:sz w:val="20"/>
                <w:szCs w:val="20"/>
              </w:rPr>
              <w:t xml:space="preserve">Middleware FastAPI centralizado</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Fallos silenciados</w:t>
            </w:r>
          </w:p>
        </w:tc>
        <w:tc>
          <w:tcPr>
            <w:tcBorders>
              <w:top w:val="single" w:color="CCCCCC" w:sz="4"/>
              <w:left w:val="single" w:color="CCCCCC" w:sz="4"/>
              <w:bottom w:val="single" w:color="CCCCCC" w:sz="4"/>
              <w:right w:val="single" w:color="CCCCCC" w:sz="4"/>
            </w:tcBorders>
            <w:shd w:fill="FEF2F2" w:val="clear"/>
            <w:tcMar>
              <w:top w:type="dxa" w:w="80"/>
              <w:left w:type="dxa" w:w="150"/>
              <w:bottom w:type="dxa" w:w="80"/>
              <w:right w:type="dxa" w:w="150"/>
            </w:tcMar>
          </w:tcPr>
          <w:p>
            <w:r>
              <w:rPr>
                <w:color w:val="DC2626"/>
                <w:sz w:val="20"/>
                <w:szCs w:val="20"/>
              </w:rPr>
              <w:t xml:space="preserve">except: pass en SMTP y WhatsApp</w:t>
            </w:r>
          </w:p>
        </w:tc>
        <w:tc>
          <w:tcPr>
            <w:tcBorders>
              <w:top w:val="single" w:color="CCCCCC" w:sz="4"/>
              <w:left w:val="single" w:color="CCCCCC" w:sz="4"/>
              <w:bottom w:val="single" w:color="CCCCCC" w:sz="4"/>
              <w:right w:val="single" w:color="CCCCCC" w:sz="4"/>
            </w:tcBorders>
            <w:shd w:fill="F0FDF4" w:val="clear"/>
            <w:tcMar>
              <w:top w:type="dxa" w:w="80"/>
              <w:left w:type="dxa" w:w="150"/>
              <w:bottom w:type="dxa" w:w="80"/>
              <w:right w:type="dxa" w:w="150"/>
            </w:tcMar>
          </w:tcPr>
          <w:p>
            <w:r>
              <w:rPr>
                <w:color w:val="16A34A"/>
                <w:sz w:val="20"/>
                <w:szCs w:val="20"/>
              </w:rPr>
              <w:t xml:space="preserve">Logging estructurado + retry + alertas</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Tiempo de onboarding</w:t>
            </w:r>
          </w:p>
        </w:tc>
        <w:tc>
          <w:tcPr>
            <w:tcBorders>
              <w:top w:val="single" w:color="CCCCCC" w:sz="4"/>
              <w:left w:val="single" w:color="CCCCCC" w:sz="4"/>
              <w:bottom w:val="single" w:color="CCCCCC" w:sz="4"/>
              <w:right w:val="single" w:color="CCCCCC" w:sz="4"/>
            </w:tcBorders>
            <w:shd w:fill="FEF2F2" w:val="clear"/>
            <w:tcMar>
              <w:top w:type="dxa" w:w="80"/>
              <w:left w:type="dxa" w:w="150"/>
              <w:bottom w:type="dxa" w:w="80"/>
              <w:right w:type="dxa" w:w="150"/>
            </w:tcMar>
          </w:tcPr>
          <w:p>
            <w:r>
              <w:rPr>
                <w:color w:val="DC2626"/>
                <w:sz w:val="20"/>
                <w:szCs w:val="20"/>
              </w:rPr>
              <w:t xml:space="preserve">Alto: todo mezclado en 1.263 líneas</w:t>
            </w:r>
          </w:p>
        </w:tc>
        <w:tc>
          <w:tcPr>
            <w:tcBorders>
              <w:top w:val="single" w:color="CCCCCC" w:sz="4"/>
              <w:left w:val="single" w:color="CCCCCC" w:sz="4"/>
              <w:bottom w:val="single" w:color="CCCCCC" w:sz="4"/>
              <w:right w:val="single" w:color="CCCCCC" w:sz="4"/>
            </w:tcBorders>
            <w:shd w:fill="F0FDF4" w:val="clear"/>
            <w:tcMar>
              <w:top w:type="dxa" w:w="80"/>
              <w:left w:type="dxa" w:w="150"/>
              <w:bottom w:type="dxa" w:w="80"/>
              <w:right w:type="dxa" w:w="150"/>
            </w:tcMar>
          </w:tcPr>
          <w:p>
            <w:r>
              <w:rPr>
                <w:color w:val="16A34A"/>
                <w:sz w:val="20"/>
                <w:szCs w:val="20"/>
              </w:rPr>
              <w:t xml:space="preserve">Bajo: cada capa con responsabilidad clara</w:t>
            </w:r>
          </w:p>
        </w:tc>
      </w:tr>
    </w:tbl>
    <w:p>
      <w:r>
        <w:br w:type="page"/>
      </w:r>
    </w:p>
    <w:p>
      <w:pPr>
        <w:pStyle w:val="Heading1"/>
      </w:pPr>
      <w:r>
        <w:rPr>
          <w:rFonts w:ascii="Arial" w:cs="Arial" w:eastAsia="Arial" w:hAnsi="Arial"/>
          <w:b/>
          <w:bCs/>
          <w:color w:val="0E0E0E"/>
          <w:sz w:val="36"/>
          <w:szCs w:val="36"/>
        </w:rPr>
        <w:t xml:space="preserve">6. Plan de Trabajo — Fases 2 a 5</w:t>
      </w:r>
    </w:p>
    <w:p>
      <w:pPr>
        <w:pBdr>
          <w:bottom w:val="single" w:color="D4CCB0" w:sz="4" w:space="1"/>
        </w:pBdr>
        <w:spacing w:after="200"/>
      </w:pPr>
      <w:r>
        <w:t xml:space="preserve"/>
      </w:r>
    </w:p>
    <w:p>
      <w:pPr>
        <w:spacing w:after="140"/>
      </w:pPr>
      <w:r>
        <w:rPr>
          <w:sz w:val="22"/>
          <w:szCs w:val="22"/>
        </w:rPr>
        <w:t xml:space="preserve">La migración al hexagonal se ejecutará en 4 fases incrementales. Cada fase produce software funcional y desplegable.</w:t>
      </w:r>
    </w:p>
    <w:p>
      <w:pPr>
        <w:spacing w:after="60"/>
      </w:pPr>
      <w:r>
        <w:t xml:space="preserve"/>
      </w:r>
    </w:p>
    <w:p>
      <w:pPr>
        <w:pStyle w:val="Heading2"/>
      </w:pPr>
      <w:r>
        <w:rPr>
          <w:rFonts w:ascii="Arial" w:cs="Arial" w:eastAsia="Arial" w:hAnsi="Arial"/>
          <w:b/>
          <w:bCs/>
          <w:color w:val="0E0E0E"/>
          <w:sz w:val="28"/>
          <w:szCs w:val="28"/>
        </w:rPr>
        <w:t xml:space="preserve">Fase 2 — Núcleo del Domínio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Borders>
              <w:top w:val="single" w:color="CCCCCC" w:sz="4"/>
              <w:left w:val="single" w:color="CCCCCC" w:sz="4"/>
              <w:bottom w:val="single" w:color="CCCCCC" w:sz="4"/>
              <w:right w:val="single" w:color="CCCCCC" w:sz="4"/>
            </w:tcBorders>
            <w:shd w:fill="FF4500" w:val="clear"/>
            <w:tcMar>
              <w:top w:type="dxa" w:w="100"/>
              <w:left w:type="dxa" w:w="150"/>
              <w:bottom w:type="dxa" w:w="100"/>
              <w:right w:type="dxa" w:w="150"/>
            </w:tcMar>
          </w:tcPr>
          <w:p>
            <w:r>
              <w:rPr>
                <w:b/>
                <w:bCs/>
                <w:color w:val="FFFFFF"/>
                <w:sz w:val="20"/>
                <w:szCs w:val="20"/>
              </w:rPr>
              <w:t xml:space="preserve">Componente</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Descripción</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Entregable</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Entidades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Cliente, Ticket, Alquiler, Pago como clases Python puras (sin ORM)</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domain/entities/</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Value Objects</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Email, Password, COP (moneda), Periodo (fechas alquiler)</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domain/value_objects/</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Máquina de estados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TicketEstado con transiciones válidas y reglas de negocio encapsuladas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domain/services/</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Puertos</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Definición de interfaces ABC para repositorios y servicios externos</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domain/ports/</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Tests unitarios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100% del domínio cubierto sin BD ni mocks de infraestructura</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tests/unit/</w:t>
            </w:r>
          </w:p>
        </w:tc>
      </w:tr>
    </w:tbl>
    <w:p>
      <w:pPr>
        <w:spacing w:after="120"/>
      </w:pPr>
      <w:r>
        <w:t xml:space="preserve"/>
      </w:r>
    </w:p>
    <w:p>
      <w:pPr>
        <w:pStyle w:val="Heading2"/>
      </w:pPr>
      <w:r>
        <w:rPr>
          <w:rFonts w:ascii="Arial" w:cs="Arial" w:eastAsia="Arial" w:hAnsi="Arial"/>
          <w:b/>
          <w:bCs/>
          <w:color w:val="0E0E0E"/>
          <w:sz w:val="28"/>
          <w:szCs w:val="28"/>
        </w:rPr>
        <w:t xml:space="preserve">Fase 3 — Casos de Uso y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Caso de uso</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Descripción</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Prioridad</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RegistrarClienteUseCase</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Orquesta validación, persistencia y notificación de bienvenida</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ALTA</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CrearTicketUseCase</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Estima costo, asigna técnico, notifica por WhatsApp</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ALTA</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ActualizarTicketUseCase</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Valida transición de estado, calcula tiempo de resolución</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ALTA</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ProcesarAlquilerUseCase</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Valida fechas, aplica descuentos por volumen y plan</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MEDIA</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ProcesarPagoUseCase</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Integra con Wompi, emite recibo, actualiza estado del ticket</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ALTA</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GenerarDashboardUseCase</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Agrega métricas de negocio sin SQL en el controlador</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BAJA</w:t>
            </w:r>
          </w:p>
        </w:tc>
      </w:tr>
    </w:tbl>
    <w:p>
      <w:pPr>
        <w:spacing w:after="120"/>
      </w:pPr>
      <w:r>
        <w:t xml:space="preserve"/>
      </w:r>
    </w:p>
    <w:p>
      <w:pPr>
        <w:pStyle w:val="Heading2"/>
      </w:pPr>
      <w:r>
        <w:rPr>
          <w:rFonts w:ascii="Arial" w:cs="Arial" w:eastAsia="Arial" w:hAnsi="Arial"/>
          <w:b/>
          <w:bCs/>
          <w:color w:val="0E0E0E"/>
          <w:sz w:val="28"/>
          <w:szCs w:val="28"/>
        </w:rPr>
        <w:t xml:space="preserve">Fase 4 — Adaptadores de Infraestructura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Adaptador</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Puerto que implementa</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Tecnología</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PostgreSQLClienteRepo</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IClienteRepository</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SQLAlchemy + Alembic</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PostgreSQLTicketRepo</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ITicketRepository</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SQLAlchemy + Alembic</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PostgreSQLAlquilerRepo</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IAlquilerRepository</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SQLAlchemy + Alembic</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SMTPNotificacionAdapter</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INotificacionService (email)</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smtplib + retry</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WaBusinessAdapter</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INotificacionService (WhatsApp)</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WhatsApp Business API</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WompiAdapter</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IPagoGateway</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Wompi REST API Colombia</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JWTAdapter</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ITokenService</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PyJWT + python-jose</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EnvConfigAdapter</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IConfigService</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pydantic-settings + .env</w:t>
            </w:r>
          </w:p>
        </w:tc>
      </w:tr>
    </w:tbl>
    <w:p>
      <w:pPr>
        <w:spacing w:after="120"/>
      </w:pPr>
      <w:r>
        <w:t xml:space="preserve"/>
      </w:r>
    </w:p>
    <w:p>
      <w:pPr>
        <w:pStyle w:val="Heading2"/>
      </w:pPr>
      <w:r>
        <w:rPr>
          <w:rFonts w:ascii="Arial" w:cs="Arial" w:eastAsia="Arial" w:hAnsi="Arial"/>
          <w:b/>
          <w:bCs/>
          <w:color w:val="0E0E0E"/>
          <w:sz w:val="28"/>
          <w:szCs w:val="28"/>
        </w:rPr>
        <w:t xml:space="preserve">Fase 5 — Interfaz HTTP y Despliegue</w:t>
      </w:r>
    </w:p>
    <w:p>
      <w:pPr>
        <w:pStyle w:val="ListParagraph"/>
        <w:numPr>
          <w:ilvl w:val="0"/>
          <w:numId w:val="2"/>
        </w:numPr>
        <w:spacing w:after="80"/>
      </w:pPr>
      <w:r>
        <w:rPr>
          <w:sz w:val="22"/>
          <w:szCs w:val="22"/>
        </w:rPr>
        <w:t xml:space="preserve">Refactorizar controllers FastAPI para usar inyección de dependencias y casos de uso.</w:t>
      </w:r>
    </w:p>
    <w:p>
      <w:pPr>
        <w:pStyle w:val="ListParagraph"/>
        <w:numPr>
          <w:ilvl w:val="0"/>
          <w:numId w:val="2"/>
        </w:numPr>
        <w:spacing w:after="80"/>
      </w:pPr>
      <w:r>
        <w:rPr>
          <w:sz w:val="22"/>
          <w:szCs w:val="22"/>
        </w:rPr>
        <w:t xml:space="preserve">Implementar middleware centralizado de autenticación (eliminar 7 copias duplicadas).</w:t>
      </w:r>
    </w:p>
    <w:p>
      <w:pPr>
        <w:pStyle w:val="ListParagraph"/>
        <w:numPr>
          <w:ilvl w:val="0"/>
          <w:numId w:val="2"/>
        </w:numPr>
        <w:spacing w:after="80"/>
      </w:pPr>
      <w:r>
        <w:rPr>
          <w:sz w:val="22"/>
          <w:szCs w:val="22"/>
        </w:rPr>
        <w:t xml:space="preserve">Agregar logging estructurado con contexto (request_id, cliente_id, ticket_id).</w:t>
      </w:r>
    </w:p>
    <w:p>
      <w:pPr>
        <w:pStyle w:val="ListParagraph"/>
        <w:numPr>
          <w:ilvl w:val="0"/>
          <w:numId w:val="2"/>
        </w:numPr>
        <w:spacing w:after="80"/>
      </w:pPr>
      <w:r>
        <w:rPr>
          <w:sz w:val="22"/>
          <w:szCs w:val="22"/>
        </w:rPr>
        <w:t xml:space="preserve">Configurar pipeline CI/CD con tests automáticos en cada PR.</w:t>
      </w:r>
    </w:p>
    <w:p>
      <w:pPr>
        <w:pStyle w:val="ListParagraph"/>
        <w:numPr>
          <w:ilvl w:val="0"/>
          <w:numId w:val="2"/>
        </w:numPr>
        <w:spacing w:after="80"/>
      </w:pPr>
      <w:r>
        <w:rPr>
          <w:sz w:val="22"/>
          <w:szCs w:val="22"/>
        </w:rPr>
        <w:t xml:space="preserve">Documentación OpenAPI completa generada automáticamente por FastAPI.</w:t>
      </w:r>
    </w:p>
    <w:p>
      <w:pPr>
        <w:pStyle w:val="ListParagraph"/>
        <w:numPr>
          <w:ilvl w:val="0"/>
          <w:numId w:val="2"/>
        </w:numPr>
        <w:spacing w:after="80"/>
      </w:pPr>
      <w:r>
        <w:rPr>
          <w:sz w:val="22"/>
          <w:szCs w:val="22"/>
        </w:rPr>
        <w:t xml:space="preserve">Dockerización + docker-compose para entorno local y staging.</w:t>
      </w:r>
    </w:p>
    <w:p>
      <w:pPr>
        <w:spacing w:after="120"/>
      </w:pPr>
      <w:r>
        <w:t xml:space="preserve"/>
      </w:r>
    </w:p>
    <w:p>
      <w:pPr>
        <w:pStyle w:val="Heading2"/>
      </w:pPr>
      <w:r>
        <w:rPr>
          <w:rFonts w:ascii="Arial" w:cs="Arial" w:eastAsia="Arial" w:hAnsi="Arial"/>
          <w:b/>
          <w:bCs/>
          <w:color w:val="0E0E0E"/>
          <w:sz w:val="28"/>
          <w:szCs w:val="28"/>
        </w:rPr>
        <w:t xml:space="preserve">6.1 Cronograma Estimado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600"/>
        <w:gridCol w:w="2600"/>
        <w:gridCol w:w="2160"/>
      </w:tblGrid>
      <w:tr>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Fase</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Nombre</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Duración</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Resultado principal</w:t>
            </w:r>
          </w:p>
        </w:tc>
        <w:tc>
          <w:tcPr>
            <w:tcBorders>
              <w:top w:val="single" w:color="CCCCCC" w:sz="4"/>
              <w:left w:val="single" w:color="CCCCCC" w:sz="4"/>
              <w:bottom w:val="single" w:color="CCCCCC" w:sz="4"/>
              <w:right w:val="single" w:color="CCCCCC" w:sz="4"/>
            </w:tcBorders>
            <w:shd w:fill="0E0E0E" w:val="clear"/>
            <w:tcMar>
              <w:top w:type="dxa" w:w="100"/>
              <w:left w:type="dxa" w:w="150"/>
              <w:bottom w:type="dxa" w:w="100"/>
              <w:right w:type="dxa" w:w="150"/>
            </w:tcMar>
          </w:tcPr>
          <w:p>
            <w:r>
              <w:rPr>
                <w:b/>
                <w:bCs/>
                <w:color w:val="FFFFFF"/>
                <w:sz w:val="20"/>
                <w:szCs w:val="20"/>
              </w:rPr>
              <w:t xml:space="preserve">Estado</w:t>
            </w:r>
          </w:p>
        </w:tc>
      </w:tr>
      <w:tr>
        <w:tc>
          <w:tcPr>
            <w:tcBorders>
              <w:top w:val="single" w:color="CCCCCC" w:sz="4"/>
              <w:left w:val="single" w:color="CCCCCC" w:sz="4"/>
              <w:bottom w:val="single" w:color="CCCCCC" w:sz="4"/>
              <w:right w:val="single" w:color="CCCCCC" w:sz="4"/>
            </w:tcBorders>
            <w:shd w:fill="FFF7ED" w:val="clear"/>
            <w:tcMar>
              <w:top w:type="dxa" w:w="80"/>
              <w:left w:type="dxa" w:w="150"/>
              <w:bottom w:type="dxa" w:w="80"/>
              <w:right w:type="dxa" w:w="150"/>
            </w:tcMar>
          </w:tcPr>
          <w:p>
            <w:r>
              <w:rPr>
                <w:b/>
                <w:bCs/>
                <w:color w:val="FF4500"/>
                <w:sz w:val="20"/>
                <w:szCs w:val="20"/>
              </w:rPr>
              <w:t xml:space="preserve">Fase 1</w:t>
            </w:r>
          </w:p>
        </w:tc>
        <w:tc>
          <w:tcPr>
            <w:tcBorders>
              <w:top w:val="single" w:color="CCCCCC" w:sz="4"/>
              <w:left w:val="single" w:color="CCCCCC" w:sz="4"/>
              <w:bottom w:val="single" w:color="CCCCCC" w:sz="4"/>
              <w:right w:val="single" w:color="CCCCCC" w:sz="4"/>
            </w:tcBorders>
            <w:shd w:fill="FFF7ED" w:val="clear"/>
            <w:tcMar>
              <w:top w:type="dxa" w:w="80"/>
              <w:left w:type="dxa" w:w="150"/>
              <w:bottom w:type="dxa" w:w="80"/>
              <w:right w:type="dxa" w:w="150"/>
            </w:tcMar>
          </w:tcPr>
          <w:p>
            <w:r>
              <w:rPr>
                <w:color w:val="0E0E0E"/>
                <w:sz w:val="20"/>
                <w:szCs w:val="20"/>
              </w:rPr>
              <w:t xml:space="preserve">Análisis y Diseño</w:t>
            </w:r>
          </w:p>
        </w:tc>
        <w:tc>
          <w:tcPr>
            <w:tcBorders>
              <w:top w:val="single" w:color="CCCCCC" w:sz="4"/>
              <w:left w:val="single" w:color="CCCCCC" w:sz="4"/>
              <w:bottom w:val="single" w:color="CCCCCC" w:sz="4"/>
              <w:right w:val="single" w:color="CCCCCC" w:sz="4"/>
            </w:tcBorders>
            <w:shd w:fill="FFF7ED" w:val="clear"/>
            <w:tcMar>
              <w:top w:type="dxa" w:w="80"/>
              <w:left w:type="dxa" w:w="150"/>
              <w:bottom w:type="dxa" w:w="80"/>
              <w:right w:type="dxa" w:w="150"/>
            </w:tcMar>
          </w:tcPr>
          <w:p>
            <w:r>
              <w:rPr>
                <w:color w:val="0E0E0E"/>
                <w:sz w:val="20"/>
                <w:szCs w:val="20"/>
              </w:rPr>
              <w:t xml:space="preserve">1 semana</w:t>
            </w:r>
          </w:p>
        </w:tc>
        <w:tc>
          <w:tcPr>
            <w:tcBorders>
              <w:top w:val="single" w:color="CCCCCC" w:sz="4"/>
              <w:left w:val="single" w:color="CCCCCC" w:sz="4"/>
              <w:bottom w:val="single" w:color="CCCCCC" w:sz="4"/>
              <w:right w:val="single" w:color="CCCCCC" w:sz="4"/>
            </w:tcBorders>
            <w:shd w:fill="FFF7ED" w:val="clear"/>
            <w:tcMar>
              <w:top w:type="dxa" w:w="80"/>
              <w:left w:type="dxa" w:w="150"/>
              <w:bottom w:type="dxa" w:w="80"/>
              <w:right w:type="dxa" w:w="150"/>
            </w:tcMar>
          </w:tcPr>
          <w:p>
            <w:r>
              <w:rPr>
                <w:color w:val="0E0E0E"/>
                <w:sz w:val="20"/>
                <w:szCs w:val="20"/>
              </w:rPr>
              <w:t xml:space="preserve">Este informe + monolito documentado</w:t>
            </w:r>
          </w:p>
        </w:tc>
        <w:tc>
          <w:tcPr>
            <w:tcBorders>
              <w:top w:val="single" w:color="CCCCCC" w:sz="4"/>
              <w:left w:val="single" w:color="CCCCCC" w:sz="4"/>
              <w:bottom w:val="single" w:color="CCCCCC" w:sz="4"/>
              <w:right w:val="single" w:color="CCCCCC" w:sz="4"/>
            </w:tcBorders>
            <w:shd w:fill="F0FDF4" w:val="clear"/>
            <w:tcMar>
              <w:top w:type="dxa" w:w="80"/>
              <w:left w:type="dxa" w:w="150"/>
              <w:bottom w:type="dxa" w:w="80"/>
              <w:right w:type="dxa" w:w="150"/>
            </w:tcMar>
          </w:tcPr>
          <w:p>
            <w:r>
              <w:rPr>
                <w:b/>
                <w:bCs/>
                <w:color w:val="16A34A"/>
                <w:sz w:val="18"/>
                <w:szCs w:val="18"/>
              </w:rPr>
              <w:t xml:space="preserve">COMPLETADA</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Fase 2</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Núcleo del Domínio</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1–2 semanas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Entidades + value objects + tests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Pendiente</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Fase 3</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Casos de Uso</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2 semanas</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6 use cases + tests integr.</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Pendiente</w:t>
            </w:r>
          </w:p>
        </w:tc>
      </w:tr>
      <w:tr>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Fase 4</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Adaptadores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1–2 semanas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8 adaptadores implementados</w:t>
            </w:r>
          </w:p>
        </w:tc>
        <w:tc>
          <w:tcPr>
            <w:tcBorders>
              <w:top w:val="single" w:color="CCCCCC" w:sz="4"/>
              <w:left w:val="single" w:color="CCCCCC" w:sz="4"/>
              <w:bottom w:val="single" w:color="CCCCCC" w:sz="4"/>
              <w:right w:val="single" w:color="CCCCCC" w:sz="4"/>
            </w:tcBorders>
            <w:shd w:fill="F2EDE5" w:val="clear"/>
            <w:tcMar>
              <w:top w:type="dxa" w:w="80"/>
              <w:left w:type="dxa" w:w="150"/>
              <w:bottom w:type="dxa" w:w="80"/>
              <w:right w:type="dxa" w:w="150"/>
            </w:tcMar>
          </w:tcPr>
          <w:p>
            <w:r>
              <w:rPr>
                <w:color w:val="0E0E0E"/>
                <w:sz w:val="20"/>
                <w:szCs w:val="20"/>
              </w:rPr>
              <w:t xml:space="preserve">Pendiente</w:t>
            </w:r>
          </w:p>
        </w:tc>
      </w:tr>
      <w:tr>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Fase 5</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HTTP + Deploy</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1 semana</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API lista para producción</w:t>
            </w:r>
          </w:p>
        </w:tc>
        <w:tc>
          <w:tcPr>
            <w:tcBorders>
              <w:top w:val="single" w:color="CCCCCC" w:sz="4"/>
              <w:left w:val="single" w:color="CCCCCC" w:sz="4"/>
              <w:bottom w:val="single" w:color="CCCCCC" w:sz="4"/>
              <w:right w:val="single" w:color="CCCCCC" w:sz="4"/>
            </w:tcBorders>
            <w:shd w:fill="FFFFFF" w:val="clear"/>
            <w:tcMar>
              <w:top w:type="dxa" w:w="80"/>
              <w:left w:type="dxa" w:w="150"/>
              <w:bottom w:type="dxa" w:w="80"/>
              <w:right w:type="dxa" w:w="150"/>
            </w:tcMar>
          </w:tcPr>
          <w:p>
            <w:r>
              <w:rPr>
                <w:color w:val="0E0E0E"/>
                <w:sz w:val="20"/>
                <w:szCs w:val="20"/>
              </w:rPr>
              <w:t xml:space="preserve">Pendiente</w:t>
            </w:r>
          </w:p>
        </w:tc>
      </w:tr>
    </w:tbl>
    <w:p>
      <w:r>
        <w:br w:type="page"/>
      </w:r>
    </w:p>
    <w:p>
      <w:pPr>
        <w:pStyle w:val="Heading1"/>
      </w:pPr>
      <w:r>
        <w:rPr>
          <w:rFonts w:ascii="Arial" w:cs="Arial" w:eastAsia="Arial" w:hAnsi="Arial"/>
          <w:b/>
          <w:bCs/>
          <w:color w:val="0E0E0E"/>
          <w:sz w:val="36"/>
          <w:szCs w:val="36"/>
        </w:rPr>
        <w:t xml:space="preserve">7. Conclusiones y Recomendaciones</w:t>
      </w:r>
    </w:p>
    <w:p>
      <w:pPr>
        <w:pBdr>
          <w:bottom w:val="single" w:color="D4CCB0" w:sz="4" w:space="1"/>
        </w:pBdr>
        <w:spacing w:after="200"/>
      </w:pPr>
      <w:r>
        <w:t xml:space="preserve"/>
      </w:r>
    </w:p>
    <w:p>
      <w:pPr>
        <w:spacing w:after="140"/>
      </w:pPr>
      <w:r>
        <w:rPr>
          <w:b/>
          <w:bCs/>
          <w:color w:val="0E0E0E"/>
        </w:rPr>
        <w:t xml:space="preserve">Conclusión principal: </w:t>
      </w:r>
      <w:r>
        <w:rPr>
          <w:sz w:val="22"/>
          <w:szCs w:val="22"/>
        </w:rPr>
        <w:t xml:space="preserve">El monolito TechSupport Pro es un sistema funcional pero con deuda técnica crítica que compromete su seguridad, mantenibilidad y escalabilidad a mediano plazo.</w:t>
      </w:r>
    </w:p>
    <w:p>
      <w:pPr>
        <w:spacing w:after="60"/>
      </w:pPr>
      <w:r>
        <w:t xml:space="preserve"/>
      </w:r>
    </w:p>
    <w:p>
      <w:pPr>
        <w:pStyle w:val="Heading2"/>
      </w:pPr>
      <w:r>
        <w:rPr>
          <w:rFonts w:ascii="Arial" w:cs="Arial" w:eastAsia="Arial" w:hAnsi="Arial"/>
          <w:b/>
          <w:bCs/>
          <w:color w:val="0E0E0E"/>
          <w:sz w:val="28"/>
          <w:szCs w:val="28"/>
        </w:rPr>
        <w:t xml:space="preserve">Riesgos identificados en el monolito actual</w:t>
      </w:r>
    </w:p>
    <w:p>
      <w:pPr>
        <w:pStyle w:val="ListParagraph"/>
        <w:numPr>
          <w:ilvl w:val="0"/>
          <w:numId w:val="3"/>
        </w:numPr>
        <w:spacing w:after="80"/>
      </w:pPr>
      <w:r>
        <w:rPr>
          <w:sz w:val="22"/>
          <w:szCs w:val="22"/>
        </w:rPr>
        <w:t xml:space="preserve">Riesgo de seguridad crítico: las credenciales hardcoded (Wompi, SMTP, WhatsApp) son visibles en cualquier clon del repositorio. Un leak del código fuente compromete la cuenta bancaria y todos los servicios.</w:t>
      </w:r>
    </w:p>
    <w:p>
      <w:pPr>
        <w:pStyle w:val="ListParagraph"/>
        <w:numPr>
          <w:ilvl w:val="0"/>
          <w:numId w:val="3"/>
        </w:numPr>
        <w:spacing w:after="80"/>
      </w:pPr>
      <w:r>
        <w:rPr>
          <w:sz w:val="22"/>
          <w:szCs w:val="22"/>
        </w:rPr>
        <w:t xml:space="preserve">Imposibilidad de testing: sin poder aislar el domínio, no se pueden escribir pruebas unitarias confiables. Cualquier cambio requiere pruebas manuales completas.</w:t>
      </w:r>
    </w:p>
    <w:p>
      <w:pPr>
        <w:pStyle w:val="ListParagraph"/>
        <w:numPr>
          <w:ilvl w:val="0"/>
          <w:numId w:val="3"/>
        </w:numPr>
        <w:spacing w:after="80"/>
      </w:pPr>
      <w:r>
        <w:rPr>
          <w:sz w:val="22"/>
          <w:szCs w:val="22"/>
        </w:rPr>
        <w:t xml:space="preserve">Fragilidad ante cambios: modificar la regla de descuento del plan Profesional requiere editar main.py en al menos 3 lugares con riesgo de inconsistencia.</w:t>
      </w:r>
    </w:p>
    <w:p>
      <w:pPr>
        <w:pStyle w:val="ListParagraph"/>
        <w:numPr>
          <w:ilvl w:val="0"/>
          <w:numId w:val="3"/>
        </w:numPr>
        <w:spacing w:after="80"/>
      </w:pPr>
      <w:r>
        <w:rPr>
          <w:sz w:val="22"/>
          <w:szCs w:val="22"/>
        </w:rPr>
        <w:t xml:space="preserve">Escalabilidad bloqueada: no se puede extraer ningún servicio (notificaciones, pagos) a un microservicio sin refactorizar todo el archivo.</w:t>
      </w:r>
    </w:p>
    <w:p>
      <w:pPr>
        <w:pStyle w:val="ListParagraph"/>
        <w:numPr>
          <w:ilvl w:val="0"/>
          <w:numId w:val="3"/>
        </w:numPr>
        <w:spacing w:after="80"/>
      </w:pPr>
      <w:r>
        <w:rPr>
          <w:sz w:val="22"/>
          <w:szCs w:val="22"/>
        </w:rPr>
        <w:t xml:space="preserve">Fallos silenciosos: si el servidor SMTP falla, el sistema registra el cliente pero no envía la bienvenida. No hay alerta ni retry. El problema puede pasar desapercibido días.</w:t>
      </w:r>
    </w:p>
    <w:p>
      <w:pPr>
        <w:spacing w:after="120"/>
      </w:pPr>
      <w:r>
        <w:t xml:space="preserve"/>
      </w:r>
    </w:p>
    <w:p>
      <w:pPr>
        <w:pStyle w:val="Heading2"/>
      </w:pPr>
      <w:r>
        <w:rPr>
          <w:rFonts w:ascii="Arial" w:cs="Arial" w:eastAsia="Arial" w:hAnsi="Arial"/>
          <w:b/>
          <w:bCs/>
          <w:color w:val="0E0E0E"/>
          <w:sz w:val="28"/>
          <w:szCs w:val="28"/>
        </w:rPr>
        <w:t xml:space="preserve">Recomendaciones inmediatas (antes de continuar con Fase 2)</w:t>
      </w:r>
    </w:p>
    <w:p>
      <w:pPr>
        <w:pStyle w:val="ListParagraph"/>
        <w:numPr>
          <w:ilvl w:val="0"/>
          <w:numId w:val="2"/>
        </w:numPr>
        <w:spacing w:after="80"/>
      </w:pPr>
      <w:r>
        <w:rPr>
          <w:sz w:val="22"/>
          <w:szCs w:val="22"/>
        </w:rPr>
        <w:t xml:space="preserve">Mover TODAS las credenciales a variables de entorno con python-dotenv. Commit urgente.</w:t>
      </w:r>
    </w:p>
    <w:p>
      <w:pPr>
        <w:pStyle w:val="ListParagraph"/>
        <w:numPr>
          <w:ilvl w:val="0"/>
          <w:numId w:val="2"/>
        </w:numPr>
        <w:spacing w:after="80"/>
      </w:pPr>
      <w:r>
        <w:rPr>
          <w:sz w:val="22"/>
          <w:szCs w:val="22"/>
        </w:rPr>
        <w:t xml:space="preserve">Agregar un handler global de excepciones en FastAPI para no silenciar errores de infraestructura.</w:t>
      </w:r>
    </w:p>
    <w:p>
      <w:pPr>
        <w:pStyle w:val="ListParagraph"/>
        <w:numPr>
          <w:ilvl w:val="0"/>
          <w:numId w:val="2"/>
        </w:numPr>
        <w:spacing w:after="80"/>
      </w:pPr>
      <w:r>
        <w:rPr>
          <w:sz w:val="22"/>
          <w:szCs w:val="22"/>
        </w:rPr>
        <w:t xml:space="preserve">Crear un .gitignore que excluya archivos .env de todos los entornos.</w:t>
      </w:r>
    </w:p>
    <w:p>
      <w:pPr>
        <w:spacing w:after="120"/>
      </w:pPr>
      <w:r>
        <w:t xml:space="preserve"/>
      </w:r>
    </w:p>
    <w:p>
      <w:pPr>
        <w:spacing w:after="140"/>
      </w:pPr>
      <w:r>
        <w:rPr>
          <w:sz w:val="22"/>
          <w:szCs w:val="22"/>
        </w:rPr>
        <w:t xml:space="preserve">La </w:t>
      </w:r>
      <w:r>
        <w:rPr>
          <w:b/>
          <w:bCs/>
          <w:color w:val="0E0E0E"/>
        </w:rPr>
        <w:t xml:space="preserve">Arquitectura Hexagonal propuesta</w:t>
      </w:r>
      <w:r>
        <w:rPr>
          <w:sz w:val="22"/>
          <w:szCs w:val="22"/>
        </w:rPr>
        <w:t xml:space="preserve"> resuelve todos los problemas identificados de forma estructural. La migración por fases garantiza que el sistema permanece desplegable y funcional durante todo el proceso de refactorización.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4"/>
              <w:left w:val="single" w:color="CCCCCC" w:sz="4"/>
              <w:bottom w:val="single" w:color="CCCCCC" w:sz="4"/>
              <w:right w:val="single" w:color="CCCCCC" w:sz="4"/>
            </w:tcBorders>
            <w:shd w:fill="FFF7ED" w:val="clear"/>
            <w:tcMar>
              <w:top w:type="dxa" w:w="200"/>
              <w:left w:type="dxa" w:w="300"/>
              <w:bottom w:type="dxa" w:w="200"/>
              <w:right w:type="dxa" w:w="300"/>
            </w:tcMar>
          </w:tcPr>
          <w:p>
            <w:pPr>
              <w:spacing w:after="100"/>
              <w:jc w:val="center"/>
            </w:pPr>
            <w:r>
              <w:rPr>
                <w:b/>
                <w:bCs/>
                <w:color w:val="FF4500"/>
                <w:sz w:val="28"/>
                <w:szCs w:val="28"/>
              </w:rPr>
              <w:t xml:space="preserve">VEREDICTO DE FASE 1</w:t>
            </w:r>
          </w:p>
          <w:p>
            <w:pPr>
              <w:spacing w:after="60"/>
              <w:jc w:val="center"/>
            </w:pPr>
            <w:r>
              <w:rPr>
                <w:color w:val="0E0E0E"/>
                <w:sz w:val="22"/>
                <w:szCs w:val="22"/>
              </w:rPr>
              <w:t xml:space="preserve">Monolito analizado y documentado. Arquitectura hexagonal diseñada.</w:t>
            </w:r>
          </w:p>
          <w:p>
            <w:pPr>
              <w:spacing w:after="0"/>
              <w:jc w:val="center"/>
            </w:pPr>
            <w:r>
              <w:rPr>
                <w:color w:val="706860"/>
                <w:sz w:val="22"/>
                <w:szCs w:val="22"/>
              </w:rPr>
              <w:t xml:space="preserve">Listo para iniciar Fase 2: extracción del núcleo del domínio.</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CB0" w:sz="4" w:space="1"/>
      </w:pBdr>
      <w:tabs>
        <w:tab w:val="right" w:pos="9026"/>
      </w:tabs>
      <w:spacing w:before="0"/>
    </w:pPr>
    <w:r>
      <w:rPr>
        <w:color w:val="706860"/>
        <w:sz w:val="18"/>
        <w:szCs w:val="18"/>
      </w:rPr>
      <w:t xml:space="preserve">© 2026 TechSupport Pro S.A.S. — Confidencial</w:t>
    </w:r>
    <w:r>
      <w:rPr>
        <w:sz w:val="18"/>
        <w:szCs w:val="18"/>
      </w:rPr>
      <w:t xml:space="preserve">	</w:t>
    </w:r>
    <w:r>
      <w:rPr>
        <w:color w:val="706860"/>
        <w:sz w:val="18"/>
        <w:szCs w:val="18"/>
      </w:rPr>
      <w:t xml:space="preserve">Página </w:t>
    </w:r>
    <w:fldSimple w:instr="PAGE">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CB0" w:sz="4" w:space="1"/>
      </w:pBdr>
      <w:tabs>
        <w:tab w:val="right" w:pos="9026"/>
      </w:tabs>
      <w:spacing w:after="0"/>
    </w:pPr>
    <w:r>
      <w:rPr>
        <w:color w:val="706860"/>
        <w:sz w:val="18"/>
        <w:szCs w:val="18"/>
      </w:rPr>
      <w:t xml:space="preserve">TechSupport Pro — Informe de Fase 1</w:t>
    </w:r>
    <w:r>
      <w:rPr>
        <w:sz w:val="18"/>
        <w:szCs w:val="18"/>
      </w:rPr>
      <w:t xml:space="preserve">	</w:t>
    </w:r>
    <w:r>
      <w:rPr>
        <w:b/>
        <w:bCs/>
        <w:color w:val="706860"/>
        <w:sz w:val="18"/>
        <w:szCs w:val="18"/>
      </w:rPr>
      <w:t xml:space="preserve">Diseño Arquitectura Hexagonal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0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E0E0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E0E0E"/>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7068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2026-03-04T12:22:04.598Z</dcterms:created>
  <dcterms:modified xsi:type="dcterms:W3CDTF">2026-03-04T12:22:04.599Z</dcterms:modified>
</cp:coreProperties>
</file>

<file path=docProps/custom.xml><?xml version="1.0" encoding="utf-8"?>
<Properties xmlns="http://schemas.openxmlformats.org/officeDocument/2006/custom-properties" xmlns:vt="http://schemas.openxmlformats.org/officeDocument/2006/docPropsVTypes"/>
</file>