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Late dietary changes</w:t>
      </w:r>
    </w:p>
    <w:p>
      <w:r>
        <w:t>Date and time: WORKDAY-6T12:30:00Z</w:t>
      </w:r>
    </w:p>
    <w:p>
      <w:r>
        <w:t>Organizer: Lee Gu</w:t>
      </w:r>
    </w:p>
    <w:p>
      <w:r>
        <w:t>Participants: Adele Vance; Lee Gu; Lidia Holloway; Nestor Wilke</w:t>
      </w:r>
    </w:p>
    <w:p>
      <w:r>
        <w:t>Topic: meeting-late-dietary-changes</w:t>
      </w:r>
    </w:p>
    <w:p>
      <w:r>
        <w:t>Meeting notes</w:t>
      </w:r>
    </w:p>
    <w:p>
      <w:r>
        <w:t>The group reviewed the community open day arrangements. Most details are confirmed, and routine updates are recorded in the shared folder.</w:t>
      </w:r>
    </w:p>
    <w:p>
      <w:r>
        <w:t>Action owner: Lidia Holloway. A short follow-up meeting has not been scheduled. The minutes do not say who receives late dietary changes. Lidia will agree a named contact with the caterer in a short follow-up meeting. No later completion update appears in the shared planning notes.</w:t>
      </w:r>
    </w:p>
    <w:p>
      <w:r>
        <w:t>The group agreed to check progress at the next planning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