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Meeting: Welcome leaflet format</w:t>
      </w:r>
    </w:p>
    <w:p>
      <w:r>
        <w:t>Date and time: WORKDAY-2T09:00:00Z</w:t>
      </w:r>
    </w:p>
    <w:p>
      <w:r>
        <w:t>Organizer: Nicolai Dahl Madsen</w:t>
      </w:r>
    </w:p>
    <w:p>
      <w:r>
        <w:t>Participants: Johanna Lorenz; Miriam Graham; Nicolai Dahl Madsen; Patti Fernandez</w:t>
      </w:r>
    </w:p>
    <w:p>
      <w:r>
        <w:t>Topic: meeting-welcome-leaflet-format</w:t>
      </w:r>
    </w:p>
    <w:p>
      <w:r>
        <w:t>Meeting notes</w:t>
      </w:r>
    </w:p>
    <w:p>
      <w:r>
        <w:t>The group reviewed the community open day arrangements. Most details are confirmed, and routine updates are recorded in the shared folder.</w:t>
      </w:r>
    </w:p>
    <w:p>
      <w:r>
        <w:t>Action owner: Johanna Lorenz. A short follow-up meeting has not been scheduled. The group has not chosen between a one-sheet and folded leaflet. Johanna will bring samples to a short meeting so the team can choose before printing. No later completion update appears in the shared planning notes.</w:t>
      </w:r>
    </w:p>
    <w:p>
      <w:r>
        <w:t>The group agreed to check progress at the next planning check-in.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