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3 planning</w:t>
      </w:r>
    </w:p>
    <w:p>
      <w:r>
        <w:rPr>
          <w:sz w:val="22"/>
        </w:rPr>
        <w:t xml:space="preserve">Date and time: 2026-05-29T14:05:00Z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Diego Siciliani; Johanna Lorenz; Henrietta Mueller</w:t>
      </w:r>
    </w:p>
    <w:p>
      <w:r>
        <w:rPr>
          <w:sz w:val="22"/>
        </w:rPr>
        <w:t xml:space="preserve">Topic: sprint-planning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Committed work: immutable service ID, queue event example, and identity decision record. Alex owns the ADR; Diego owns the event schema. The deployment flow depends on sandbox consent being approved.</w:t>
      </w:r>
    </w:p>
    <w:sectPr>
      <w:pgSz w:w="12240" w:h="15840"/>
      <w:pgMar w:top="1440" w:right="1440" w:bottom="1440" w:left="1440"/>
    </w:sectPr>
  </w:body>
</w:document>
</file>