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Platform architecture review</w:t>
      </w:r>
    </w:p>
    <w:p>
      <w:r>
        <w:rPr>
          <w:sz w:val="22"/>
        </w:rPr>
        <w:t xml:space="preserve">Date and time: NOW-PT1117010S</w:t>
      </w:r>
    </w:p>
    <w:p>
      <w:r>
        <w:rPr>
          <w:sz w:val="22"/>
        </w:rPr>
        <w:t xml:space="preserve">Organizer: Alex Wilber</w:t>
      </w:r>
    </w:p>
    <w:p>
      <w:r>
        <w:rPr>
          <w:sz w:val="22"/>
        </w:rPr>
        <w:t xml:space="preserve">Participants: Nicolai Dahl Madsen; Alex Wilber; Diego Siciliani; Grady Archie; Isaiah Langer</w:t>
      </w:r>
    </w:p>
    <w:p>
      <w:r>
        <w:rPr>
          <w:sz w:val="22"/>
        </w:rPr>
        <w:t xml:space="preserve">Topic: architecture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Decision: the control plane owns catalog metadata and onboarding policy; service teams retain runtime ownership. Open action: document token audience and service-to-service boundaries.</w:t>
      </w:r>
    </w:p>
    <w:sectPr>
      <w:pgSz w:w="12240" w:h="15840"/>
      <w:pgMar w:top="1440" w:right="1440" w:bottom="1440" w:left="1440"/>
    </w:sectPr>
  </w:body>
</w:document>
</file>