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Release gate review</w:t>
      </w:r>
    </w:p>
    <w:p>
      <w:r>
        <w:rPr>
          <w:sz w:val="22"/>
        </w:rPr>
        <w:t xml:space="preserve">Date and time: NOW-PT390127S</w:t>
      </w:r>
    </w:p>
    <w:p>
      <w:r>
        <w:rPr>
          <w:sz w:val="22"/>
        </w:rPr>
        <w:t xml:space="preserve">Organizer: Lynne Robbins</w:t>
      </w:r>
    </w:p>
    <w:p>
      <w:r>
        <w:rPr>
          <w:sz w:val="22"/>
        </w:rPr>
        <w:t xml:space="preserve">Participants: Nicolai Dahl Madsen; Lynne Robbins; Henrietta Mueller; Pradeep Gupta</w:t>
      </w:r>
    </w:p>
    <w:p>
      <w:r>
        <w:rPr>
          <w:sz w:val="22"/>
        </w:rPr>
        <w:t xml:space="preserve">Topic: release-gates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Rollback rehearsal passed and evidence is attached. Service-owner acknowledgement is still missing. Lynne will keep the release gate open and request confirmation.</w:t>
      </w:r>
    </w:p>
    <w:sectPr>
      <w:pgSz w:w="12240" w:h="15840"/>
      <w:pgMar w:top="1440" w:right="1440" w:bottom="1440" w:left="1440"/>
    </w:sectPr>
  </w:body>
</w:document>
</file>