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11 demo and retrospective</w:t>
      </w:r>
    </w:p>
    <w:p>
      <w:r>
        <w:rPr>
          <w:sz w:val="22"/>
        </w:rPr>
        <w:t xml:space="preserve">Date and time: NOW-PT70384S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Johanna Lorenz; Patti Fernandez; Nestor Wilke; Pradeep Gupta</w:t>
      </w:r>
    </w:p>
    <w:p>
      <w:r>
        <w:rPr>
          <w:sz w:val="22"/>
        </w:rPr>
        <w:t xml:space="preserve">Topic: sprint-review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The service card approval field tested well. The third API consumer has not named a migration owner. Runbook on-call confirmation and one service-owner acknowledgement remain open before expansion.</w:t>
      </w:r>
    </w:p>
    <w:sectPr>
      <w:pgSz w:w="12240" w:h="15840"/>
      <w:pgMar w:top="1440" w:right="1440" w:bottom="1440" w:left="1440"/>
    </w:sectPr>
  </w:body>
</w:document>
</file>