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9 planning</w:t>
      </w:r>
    </w:p>
    <w:p>
      <w:r>
        <w:rPr>
          <w:sz w:val="22"/>
        </w:rPr>
        <w:t xml:space="preserve">Date and time: NOW-PT252607S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Adele Vance; Joni Sherman; Isaiah Langer; Grady Archie</w:t>
      </w:r>
    </w:p>
    <w:p>
      <w:r>
        <w:rPr>
          <w:sz w:val="22"/>
        </w:rPr>
        <w:t xml:space="preserve">Topic: sprint-planning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Expansion decision remains conditional on security sign-off and a runner cost ceiling. Nestor will request consumer migration dates. Joni will keep the production date provisional until both conditions are evidenced.</w:t>
      </w:r>
    </w:p>
    <w:sectPr>
      <w:pgSz w:w="12240" w:h="15840"/>
      <w:pgMar w:top="1440" w:right="1440" w:bottom="1440" w:left="1440"/>
    </w:sectPr>
  </w:body>
</w:document>
</file>