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Minutes of Meeting</w:t>
      </w:r>
    </w:p>
    <w:p>
      <w:r>
        <w:rPr>
          <w:b/>
          <w:sz w:val="22"/>
        </w:rPr>
        <w:t xml:space="preserve">Meeting: Success measures workshop</w:t>
      </w:r>
    </w:p>
    <w:p>
      <w:r>
        <w:rPr>
          <w:sz w:val="22"/>
        </w:rPr>
        <w:t xml:space="preserve">Date and time: NOW-PT1163587S</w:t>
      </w:r>
    </w:p>
    <w:p>
      <w:r>
        <w:rPr>
          <w:sz w:val="22"/>
        </w:rPr>
        <w:t xml:space="preserve">Organizer: Adele Vance</w:t>
      </w:r>
    </w:p>
    <w:p>
      <w:r>
        <w:rPr>
          <w:sz w:val="22"/>
        </w:rPr>
        <w:t xml:space="preserve">Participants: Nicolai Dahl Madsen; Adele Vance; Lidia Holloway; Megan Bowen</w:t>
      </w:r>
    </w:p>
    <w:p>
      <w:r>
        <w:rPr>
          <w:sz w:val="22"/>
        </w:rPr>
        <w:t xml:space="preserve">Topic: success-measures</w:t>
      </w:r>
    </w:p>
    <w:p>
      <w:r>
        <w:rPr>
          <w:b/>
          <w:sz w:val="22"/>
        </w:rPr>
        <w:t xml:space="preserve">Meeting notes</w:t>
      </w:r>
    </w:p>
    <w:p>
      <w:r>
        <w:rPr>
          <w:sz w:val="22"/>
        </w:rPr>
        <w:t xml:space="preserve">Adoption will be reported as separate registration and first deployment measures. Adele owns the outcome definitions. Lidia will draft the baseline dashboard; open question: whether support load is measured per team or per service.</w:t>
      </w:r>
    </w:p>
    <w:sectPr>
      <w:pgSz w:w="12240" w:h="15840"/>
      <w:pgMar w:top="1440" w:right="1440" w:bottom="1440" w:left="1440"/>
    </w:sectPr>
  </w:body>
</w:document>
</file>