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Platform architecture review</w:t>
      </w:r>
    </w:p>
    <w:p>
      <w:r>
        <w:rPr>
          <w:sz w:val="22"/>
        </w:rPr>
        <w:t xml:space="preserve">Date and time: 2026-05-08T14:05:00Z</w:t>
      </w:r>
    </w:p>
    <w:p>
      <w:r>
        <w:rPr>
          <w:sz w:val="22"/>
        </w:rPr>
        <w:t xml:space="preserve">Organizer: Alex Wilber</w:t>
      </w:r>
    </w:p>
    <w:p>
      <w:r>
        <w:rPr>
          <w:sz w:val="22"/>
        </w:rPr>
        <w:t xml:space="preserve">Participants: Nicolai Dahl Madsen; Alex Wilber; Diego Siciliani; Grady Archie; Isaiah Langer</w:t>
      </w:r>
    </w:p>
    <w:p>
      <w:r>
        <w:rPr>
          <w:sz w:val="22"/>
        </w:rPr>
        <w:t xml:space="preserve">Topic: architecture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Decision: the control plane owns catalog metadata and onboarding policy; service teams retain runtime ownership. Open action: document token audience and service-to-service boundaries.</w:t>
      </w:r>
    </w:p>
    <w:sectPr>
      <w:pgSz w:w="12240" w:h="15840"/>
      <w:pgMar w:top="1440" w:right="1440" w:bottom="1440" w:left="1440"/>
    </w:sectPr>
  </w:body>
</w:document>
</file>