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D2C2"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5F59040F">
          <v:rect id="_x0000_i1025" style="width:0;height:1.5pt" o:hralign="center" o:hrstd="t" o:hr="t" fillcolor="#a0a0a0" stroked="f"/>
        </w:pict>
      </w:r>
    </w:p>
    <w:p w14:paraId="47030BAE" w14:textId="77777777" w:rsidR="00F832AE" w:rsidRPr="00F832AE" w:rsidRDefault="00F832AE" w:rsidP="00F832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32AE">
        <w:rPr>
          <w:rFonts w:ascii="Segoe UI Emoji" w:eastAsia="Times New Roman" w:hAnsi="Segoe UI Emoji" w:cs="Segoe UI Emoji"/>
          <w:b/>
          <w:bCs/>
          <w:kern w:val="0"/>
          <w:sz w:val="36"/>
          <w:szCs w:val="36"/>
          <w14:ligatures w14:val="none"/>
        </w:rPr>
        <w:t>📚</w:t>
      </w:r>
      <w:r w:rsidRPr="00F832AE">
        <w:rPr>
          <w:rFonts w:ascii="Times New Roman" w:eastAsia="Times New Roman" w:hAnsi="Times New Roman" w:cs="Times New Roman"/>
          <w:b/>
          <w:bCs/>
          <w:kern w:val="0"/>
          <w:sz w:val="36"/>
          <w:szCs w:val="36"/>
          <w14:ligatures w14:val="none"/>
        </w:rPr>
        <w:t xml:space="preserve"> Advanced Annotated Bibliography (MLA Style)</w:t>
      </w:r>
    </w:p>
    <w:p w14:paraId="5AE3FCAF"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74FDAE67">
          <v:rect id="_x0000_i1026" style="width:0;height:1.5pt" o:hralign="center" o:hrstd="t" o:hr="t" fillcolor="#a0a0a0" stroked="f"/>
        </w:pict>
      </w:r>
    </w:p>
    <w:p w14:paraId="7761A3AE" w14:textId="77777777" w:rsidR="00F832AE" w:rsidRPr="00F832AE" w:rsidRDefault="00F832AE" w:rsidP="00F832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32AE">
        <w:rPr>
          <w:rFonts w:ascii="Times New Roman" w:eastAsia="Times New Roman" w:hAnsi="Times New Roman" w:cs="Times New Roman"/>
          <w:b/>
          <w:bCs/>
          <w:kern w:val="0"/>
          <w:sz w:val="27"/>
          <w:szCs w:val="27"/>
          <w14:ligatures w14:val="none"/>
        </w:rPr>
        <w:t>Source A — Primary Document</w:t>
      </w:r>
    </w:p>
    <w:p w14:paraId="77D14FCE"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 xml:space="preserve">Menelik II and Pietro Antonelli. </w:t>
      </w:r>
      <w:r w:rsidRPr="00F832AE">
        <w:rPr>
          <w:rFonts w:ascii="Times New Roman" w:eastAsia="Times New Roman" w:hAnsi="Times New Roman" w:cs="Times New Roman"/>
          <w:b/>
          <w:bCs/>
          <w:i/>
          <w:iCs/>
          <w:kern w:val="0"/>
          <w14:ligatures w14:val="none"/>
        </w:rPr>
        <w:t>Treaty of Wuchale (1889).</w:t>
      </w:r>
      <w:r w:rsidRPr="00F832AE">
        <w:rPr>
          <w:rFonts w:ascii="Times New Roman" w:eastAsia="Times New Roman" w:hAnsi="Times New Roman" w:cs="Times New Roman"/>
          <w:b/>
          <w:bCs/>
          <w:kern w:val="0"/>
          <w14:ligatures w14:val="none"/>
        </w:rPr>
        <w:t xml:space="preserve"> 2 May 1889.</w:t>
      </w:r>
      <w:r w:rsidRPr="00F832AE">
        <w:rPr>
          <w:rFonts w:ascii="Times New Roman" w:eastAsia="Times New Roman" w:hAnsi="Times New Roman" w:cs="Times New Roman"/>
          <w:kern w:val="0"/>
          <w14:ligatures w14:val="none"/>
        </w:rPr>
        <w:br/>
        <w:t>Official treaty text between the Kingdom of Italy and the Ethiopian Empire, translated digital edition, University of Parma Global Studies Project in International Relations (GSPI), 2015.</w:t>
      </w:r>
    </w:p>
    <w:p w14:paraId="33EF8CF2"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Annotation:</w:t>
      </w:r>
      <w:r w:rsidRPr="00F832AE">
        <w:rPr>
          <w:rFonts w:ascii="Times New Roman" w:eastAsia="Times New Roman" w:hAnsi="Times New Roman" w:cs="Times New Roman"/>
          <w:kern w:val="0"/>
          <w14:ligatures w14:val="none"/>
        </w:rPr>
        <w:br/>
        <w:t xml:space="preserve">The </w:t>
      </w:r>
      <w:r w:rsidRPr="00F832AE">
        <w:rPr>
          <w:rFonts w:ascii="Times New Roman" w:eastAsia="Times New Roman" w:hAnsi="Times New Roman" w:cs="Times New Roman"/>
          <w:i/>
          <w:iCs/>
          <w:kern w:val="0"/>
          <w14:ligatures w14:val="none"/>
        </w:rPr>
        <w:t>Treaty of Wuchale</w:t>
      </w:r>
      <w:r w:rsidRPr="00F832AE">
        <w:rPr>
          <w:rFonts w:ascii="Times New Roman" w:eastAsia="Times New Roman" w:hAnsi="Times New Roman" w:cs="Times New Roman"/>
          <w:kern w:val="0"/>
          <w14:ligatures w14:val="none"/>
        </w:rPr>
        <w:t xml:space="preserve"> is a crucial primary document for understanding Ethiopia’s late</w:t>
      </w:r>
      <w:r w:rsidRPr="00F832AE">
        <w:rPr>
          <w:rFonts w:ascii="Times New Roman" w:eastAsia="Times New Roman" w:hAnsi="Times New Roman" w:cs="Times New Roman"/>
          <w:kern w:val="0"/>
          <w14:ligatures w14:val="none"/>
        </w:rPr>
        <w:noBreakHyphen/>
        <w:t>19th</w:t>
      </w:r>
      <w:r w:rsidRPr="00F832AE">
        <w:rPr>
          <w:rFonts w:ascii="Times New Roman" w:eastAsia="Times New Roman" w:hAnsi="Times New Roman" w:cs="Times New Roman"/>
          <w:kern w:val="0"/>
          <w14:ligatures w14:val="none"/>
        </w:rPr>
        <w:noBreakHyphen/>
        <w:t xml:space="preserve">century diplomacy, sovereignty assertions, and European colonial ambitions. Signed by </w:t>
      </w:r>
      <w:r w:rsidRPr="00F832AE">
        <w:rPr>
          <w:rFonts w:ascii="Times New Roman" w:eastAsia="Times New Roman" w:hAnsi="Times New Roman" w:cs="Times New Roman"/>
          <w:b/>
          <w:bCs/>
          <w:kern w:val="0"/>
          <w14:ligatures w14:val="none"/>
        </w:rPr>
        <w:t>Negus Menelik II</w:t>
      </w:r>
      <w:r w:rsidRPr="00F832AE">
        <w:rPr>
          <w:rFonts w:ascii="Times New Roman" w:eastAsia="Times New Roman" w:hAnsi="Times New Roman" w:cs="Times New Roman"/>
          <w:kern w:val="0"/>
          <w14:ligatures w14:val="none"/>
        </w:rPr>
        <w:t xml:space="preserve"> and Italian envoy Pietro Antonelli, the treaty exists in two versions: the Amharic text preserves Ethiopian autonomy in foreign relations, whereas the Italian version designates Ethiopia as an Italian protectorate. This discrepancy sparked the First Italo-Ethiopian War (1895–1896) and demonstrates Ethiopia’s strategic engagement with European powers. The source provides insight into competing conceptions of statehood—legalistic Eurocentrism versus indigenous African sovereignty—and illustrates Ethiopia’s agency in diplomatic negotiations. Methodologically, its value lies in direct textual analysis alongside secondary scholarship to contextualize its geopolitical and legal implications. While not ethnocentric in itself, interpretations can lean Eurocentric if detached from Ethiopian perspectives, emphasizing the importance of reading it within a broader Afrocentric historiographical framework.</w:t>
      </w:r>
    </w:p>
    <w:p w14:paraId="07FEE42D"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4318A865">
          <v:rect id="_x0000_i1027" style="width:0;height:1.5pt" o:hralign="center" o:hrstd="t" o:hr="t" fillcolor="#a0a0a0" stroked="f"/>
        </w:pict>
      </w:r>
    </w:p>
    <w:p w14:paraId="58845808" w14:textId="77777777" w:rsidR="00F832AE" w:rsidRPr="00F832AE" w:rsidRDefault="00F832AE" w:rsidP="00F832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32AE">
        <w:rPr>
          <w:rFonts w:ascii="Times New Roman" w:eastAsia="Times New Roman" w:hAnsi="Times New Roman" w:cs="Times New Roman"/>
          <w:b/>
          <w:bCs/>
          <w:kern w:val="0"/>
          <w:sz w:val="27"/>
          <w:szCs w:val="27"/>
          <w14:ligatures w14:val="none"/>
        </w:rPr>
        <w:t>Source B — Classic Monograph</w:t>
      </w:r>
    </w:p>
    <w:p w14:paraId="683201E5"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 xml:space="preserve">Zewde, Bahru. </w:t>
      </w:r>
      <w:r w:rsidRPr="00F832AE">
        <w:rPr>
          <w:rFonts w:ascii="Times New Roman" w:eastAsia="Times New Roman" w:hAnsi="Times New Roman" w:cs="Times New Roman"/>
          <w:b/>
          <w:bCs/>
          <w:i/>
          <w:iCs/>
          <w:kern w:val="0"/>
          <w14:ligatures w14:val="none"/>
        </w:rPr>
        <w:t>A History of Modern Ethiopia, 1855–1991.</w:t>
      </w:r>
      <w:r w:rsidRPr="00F832AE">
        <w:rPr>
          <w:rFonts w:ascii="Times New Roman" w:eastAsia="Times New Roman" w:hAnsi="Times New Roman" w:cs="Times New Roman"/>
          <w:b/>
          <w:bCs/>
          <w:kern w:val="0"/>
          <w14:ligatures w14:val="none"/>
        </w:rPr>
        <w:t xml:space="preserve"> 3rd ed., African Books Collective, 2001.</w:t>
      </w:r>
    </w:p>
    <w:p w14:paraId="617FA9F9"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Annotation:</w:t>
      </w:r>
      <w:r w:rsidRPr="00F832AE">
        <w:rPr>
          <w:rFonts w:ascii="Times New Roman" w:eastAsia="Times New Roman" w:hAnsi="Times New Roman" w:cs="Times New Roman"/>
          <w:kern w:val="0"/>
          <w14:ligatures w14:val="none"/>
        </w:rPr>
        <w:br/>
        <w:t xml:space="preserve">Bahru Zewde’s monograph provides an authoritative narrative of Ethiopian state formation from </w:t>
      </w:r>
      <w:r w:rsidRPr="00F832AE">
        <w:rPr>
          <w:rFonts w:ascii="Times New Roman" w:eastAsia="Times New Roman" w:hAnsi="Times New Roman" w:cs="Times New Roman"/>
          <w:b/>
          <w:bCs/>
          <w:kern w:val="0"/>
          <w14:ligatures w14:val="none"/>
        </w:rPr>
        <w:t>Tewodros II through the Derg</w:t>
      </w:r>
      <w:r w:rsidRPr="00F832AE">
        <w:rPr>
          <w:rFonts w:ascii="Times New Roman" w:eastAsia="Times New Roman" w:hAnsi="Times New Roman" w:cs="Times New Roman"/>
          <w:kern w:val="0"/>
          <w14:ligatures w14:val="none"/>
        </w:rPr>
        <w:t>, highlighting internal consolidation, military reform, and modernization. Zewde emphasizes Ethiopian agency, countering colonial historiographies that privileged European actors. She situates state-building within indigenous governance structures while showing selective adaptation of European models. Evidence draws from royal chronicles (</w:t>
      </w:r>
      <w:r w:rsidRPr="00F832AE">
        <w:rPr>
          <w:rFonts w:ascii="Times New Roman" w:eastAsia="Times New Roman" w:hAnsi="Times New Roman" w:cs="Times New Roman"/>
          <w:i/>
          <w:iCs/>
          <w:kern w:val="0"/>
          <w14:ligatures w14:val="none"/>
        </w:rPr>
        <w:t>tarika</w:t>
      </w:r>
      <w:r w:rsidRPr="00F832AE">
        <w:rPr>
          <w:rFonts w:ascii="Times New Roman" w:eastAsia="Times New Roman" w:hAnsi="Times New Roman" w:cs="Times New Roman"/>
          <w:kern w:val="0"/>
          <w14:ligatures w14:val="none"/>
        </w:rPr>
        <w:t xml:space="preserve">), imperial correspondence, and European diplomatic archives. Zewde argues that Ethiopian modernization was an </w:t>
      </w:r>
      <w:r w:rsidRPr="00F832AE">
        <w:rPr>
          <w:rFonts w:ascii="Times New Roman" w:eastAsia="Times New Roman" w:hAnsi="Times New Roman" w:cs="Times New Roman"/>
          <w:b/>
          <w:bCs/>
          <w:kern w:val="0"/>
          <w14:ligatures w14:val="none"/>
        </w:rPr>
        <w:t>indigenized project</w:t>
      </w:r>
      <w:r w:rsidRPr="00F832AE">
        <w:rPr>
          <w:rFonts w:ascii="Times New Roman" w:eastAsia="Times New Roman" w:hAnsi="Times New Roman" w:cs="Times New Roman"/>
          <w:kern w:val="0"/>
          <w14:ligatures w14:val="none"/>
        </w:rPr>
        <w:t xml:space="preserve">, reconciling tradition with centralization, rather than mere Western imitation. The work foregrounds state identity, linking emperors’ strategies to Ethiopia’s resistance to colonization. Limitations include underrepresentation of subaltern voices and regional peripheries, but its scope, methodological rigor, and </w:t>
      </w:r>
      <w:r w:rsidRPr="00F832AE">
        <w:rPr>
          <w:rFonts w:ascii="Times New Roman" w:eastAsia="Times New Roman" w:hAnsi="Times New Roman" w:cs="Times New Roman"/>
          <w:kern w:val="0"/>
          <w14:ligatures w14:val="none"/>
        </w:rPr>
        <w:lastRenderedPageBreak/>
        <w:t>historiographical synthesis make it indispensable for advanced study of Ethiopian statehood and identity.</w:t>
      </w:r>
    </w:p>
    <w:p w14:paraId="79A891FE"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2400F1A7">
          <v:rect id="_x0000_i1028" style="width:0;height:1.5pt" o:hralign="center" o:hrstd="t" o:hr="t" fillcolor="#a0a0a0" stroked="f"/>
        </w:pict>
      </w:r>
    </w:p>
    <w:p w14:paraId="52F5A3A0" w14:textId="77777777" w:rsidR="00F832AE" w:rsidRPr="00F832AE" w:rsidRDefault="00F832AE" w:rsidP="00F832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32AE">
        <w:rPr>
          <w:rFonts w:ascii="Times New Roman" w:eastAsia="Times New Roman" w:hAnsi="Times New Roman" w:cs="Times New Roman"/>
          <w:b/>
          <w:bCs/>
          <w:kern w:val="0"/>
          <w:sz w:val="27"/>
          <w:szCs w:val="27"/>
          <w14:ligatures w14:val="none"/>
        </w:rPr>
        <w:t>Source C — Peer-Reviewed Journal Article</w:t>
      </w:r>
    </w:p>
    <w:p w14:paraId="34930FC3"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 xml:space="preserve">Tessagaye, Fasil Merawi. “Emperor Tewodros II and the Antithesis Between Modernity and Tradition in Ethiopia.” </w:t>
      </w:r>
      <w:r w:rsidRPr="00F832AE">
        <w:rPr>
          <w:rFonts w:ascii="Times New Roman" w:eastAsia="Times New Roman" w:hAnsi="Times New Roman" w:cs="Times New Roman"/>
          <w:b/>
          <w:bCs/>
          <w:i/>
          <w:iCs/>
          <w:kern w:val="0"/>
          <w14:ligatures w14:val="none"/>
        </w:rPr>
        <w:t>International Journal of European Studies</w:t>
      </w:r>
      <w:r w:rsidRPr="00F832AE">
        <w:rPr>
          <w:rFonts w:ascii="Times New Roman" w:eastAsia="Times New Roman" w:hAnsi="Times New Roman" w:cs="Times New Roman"/>
          <w:b/>
          <w:bCs/>
          <w:kern w:val="0"/>
          <w14:ligatures w14:val="none"/>
        </w:rPr>
        <w:t>, vol. 6, no. 1, 2022, pp. 5–11.</w:t>
      </w:r>
    </w:p>
    <w:p w14:paraId="08D06F21"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Annotation:</w:t>
      </w:r>
      <w:r w:rsidRPr="00F832AE">
        <w:rPr>
          <w:rFonts w:ascii="Times New Roman" w:eastAsia="Times New Roman" w:hAnsi="Times New Roman" w:cs="Times New Roman"/>
          <w:kern w:val="0"/>
          <w14:ligatures w14:val="none"/>
        </w:rPr>
        <w:br/>
        <w:t xml:space="preserve">Tessagaye examines </w:t>
      </w:r>
      <w:r w:rsidRPr="00F832AE">
        <w:rPr>
          <w:rFonts w:ascii="Times New Roman" w:eastAsia="Times New Roman" w:hAnsi="Times New Roman" w:cs="Times New Roman"/>
          <w:b/>
          <w:bCs/>
          <w:kern w:val="0"/>
          <w14:ligatures w14:val="none"/>
        </w:rPr>
        <w:t>Emperor Tewodros II</w:t>
      </w:r>
      <w:r w:rsidRPr="00F832AE">
        <w:rPr>
          <w:rFonts w:ascii="Times New Roman" w:eastAsia="Times New Roman" w:hAnsi="Times New Roman" w:cs="Times New Roman"/>
          <w:kern w:val="0"/>
          <w14:ligatures w14:val="none"/>
        </w:rPr>
        <w:t xml:space="preserve"> as a figure navigating the tension between centralized authority and Ethiopian traditional norms post-</w:t>
      </w:r>
      <w:r w:rsidRPr="00F832AE">
        <w:rPr>
          <w:rFonts w:ascii="Times New Roman" w:eastAsia="Times New Roman" w:hAnsi="Times New Roman" w:cs="Times New Roman"/>
          <w:i/>
          <w:iCs/>
          <w:kern w:val="0"/>
          <w14:ligatures w14:val="none"/>
        </w:rPr>
        <w:t>Zemene Mesafint</w:t>
      </w:r>
      <w:r w:rsidRPr="00F832AE">
        <w:rPr>
          <w:rFonts w:ascii="Times New Roman" w:eastAsia="Times New Roman" w:hAnsi="Times New Roman" w:cs="Times New Roman"/>
          <w:kern w:val="0"/>
          <w14:ligatures w14:val="none"/>
        </w:rPr>
        <w:t xml:space="preserve">. The article argues that Tewodros’s military and administrative reforms were not “modern” in European terms but represent a </w:t>
      </w:r>
      <w:r w:rsidRPr="00F832AE">
        <w:rPr>
          <w:rFonts w:ascii="Times New Roman" w:eastAsia="Times New Roman" w:hAnsi="Times New Roman" w:cs="Times New Roman"/>
          <w:b/>
          <w:bCs/>
          <w:kern w:val="0"/>
          <w14:ligatures w14:val="none"/>
        </w:rPr>
        <w:t>hybrid modernity</w:t>
      </w:r>
      <w:r w:rsidRPr="00F832AE">
        <w:rPr>
          <w:rFonts w:ascii="Times New Roman" w:eastAsia="Times New Roman" w:hAnsi="Times New Roman" w:cs="Times New Roman"/>
          <w:kern w:val="0"/>
          <w14:ligatures w14:val="none"/>
        </w:rPr>
        <w:t xml:space="preserve"> rooted in local cultural and religious frameworks. Evidence relies on secondary literature and Ethiopian chronicles, emphasizing intellectual constructions of governance rather than raw military data. Tessagaye’s framework challenges Eurocentric narratives of African modernity by centering Ethiopian epistemologies. The limitation is minimal engagement with oral histories or non-elite perspectives, yet it provides a sophisticated lens to understand state formation and identity articulation in mid-19th-century Ethiopia. It encourages advanced students to critically assess both methodology and conceptual frameworks when analyzing modernization.</w:t>
      </w:r>
    </w:p>
    <w:p w14:paraId="3F43FCCF"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534347AB">
          <v:rect id="_x0000_i1029" style="width:0;height:1.5pt" o:hralign="center" o:hrstd="t" o:hr="t" fillcolor="#a0a0a0" stroked="f"/>
        </w:pict>
      </w:r>
    </w:p>
    <w:p w14:paraId="2E467767" w14:textId="77777777" w:rsidR="00F832AE" w:rsidRPr="00F832AE" w:rsidRDefault="00F832AE" w:rsidP="00F832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32AE">
        <w:rPr>
          <w:rFonts w:ascii="Times New Roman" w:eastAsia="Times New Roman" w:hAnsi="Times New Roman" w:cs="Times New Roman"/>
          <w:b/>
          <w:bCs/>
          <w:kern w:val="0"/>
          <w:sz w:val="27"/>
          <w:szCs w:val="27"/>
          <w14:ligatures w14:val="none"/>
        </w:rPr>
        <w:t>Source D — Audiovisual/Digital Source</w:t>
      </w:r>
    </w:p>
    <w:p w14:paraId="605F7AF7"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Haile Selassie I. “Address to the United Nations General Assembly, October 4, 1963.” United Nations Archives; digitized text and recording.</w:t>
      </w:r>
    </w:p>
    <w:p w14:paraId="49FD39AF"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Annotation:</w:t>
      </w:r>
      <w:r w:rsidRPr="00F832AE">
        <w:rPr>
          <w:rFonts w:ascii="Times New Roman" w:eastAsia="Times New Roman" w:hAnsi="Times New Roman" w:cs="Times New Roman"/>
          <w:kern w:val="0"/>
          <w14:ligatures w14:val="none"/>
        </w:rPr>
        <w:br/>
        <w:t>Haile Selassie’s 1963 UN speech situates Ethiopia within post-WWII global and African decolonization struggles. The address emphasizes sovereignty, pan-African unity, and Ethiopia’s historical role in resisting colonization, asserting moral and diplomatic authority on the international stage. It demonstrates how Ethiopian identity and state legitimacy were performed rhetorically in a global forum. The primary evidence is Selassie’s speech itself, digitized for analysis of language, structure, and political messaging. The speech is strongly Afrocentric, projecting Ethiopia’s anti-colonial narrative and continental leadership, though it must be contextualized with domestic critiques to avoid idealized readings. For students, it is a valuable digital source illustrating Ethiopian state power as both historical reality and performative narrative in international diplomacy.</w:t>
      </w:r>
    </w:p>
    <w:p w14:paraId="129AD441"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57214735">
          <v:rect id="_x0000_i1030" style="width:0;height:1.5pt" o:hralign="center" o:hrstd="t" o:hr="t" fillcolor="#a0a0a0" stroked="f"/>
        </w:pict>
      </w:r>
    </w:p>
    <w:p w14:paraId="58CD87BF" w14:textId="77777777" w:rsidR="00F832AE" w:rsidRPr="00F832AE" w:rsidRDefault="00F832AE" w:rsidP="00F832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32AE">
        <w:rPr>
          <w:rFonts w:ascii="Times New Roman" w:eastAsia="Times New Roman" w:hAnsi="Times New Roman" w:cs="Times New Roman"/>
          <w:b/>
          <w:bCs/>
          <w:kern w:val="0"/>
          <w:sz w:val="27"/>
          <w:szCs w:val="27"/>
          <w14:ligatures w14:val="none"/>
        </w:rPr>
        <w:t>Source E — Source of Choice</w:t>
      </w:r>
    </w:p>
    <w:p w14:paraId="5FDD84D3"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lastRenderedPageBreak/>
        <w:t xml:space="preserve">Weldeananiyaa, Solomon Gebre, and Kenneth Omejea. “Ethiopia’s History and Historiography in Perspective: A Postmodernist Critique and Policy Implications for National Cohesion.” </w:t>
      </w:r>
      <w:r w:rsidRPr="00F832AE">
        <w:rPr>
          <w:rFonts w:ascii="Times New Roman" w:eastAsia="Times New Roman" w:hAnsi="Times New Roman" w:cs="Times New Roman"/>
          <w:b/>
          <w:bCs/>
          <w:i/>
          <w:iCs/>
          <w:kern w:val="0"/>
          <w14:ligatures w14:val="none"/>
        </w:rPr>
        <w:t>Cogent Social Sciences</w:t>
      </w:r>
      <w:r w:rsidRPr="00F832AE">
        <w:rPr>
          <w:rFonts w:ascii="Times New Roman" w:eastAsia="Times New Roman" w:hAnsi="Times New Roman" w:cs="Times New Roman"/>
          <w:b/>
          <w:bCs/>
          <w:kern w:val="0"/>
          <w14:ligatures w14:val="none"/>
        </w:rPr>
        <w:t>, vol. 11, 2025.</w:t>
      </w:r>
    </w:p>
    <w:p w14:paraId="503D75B5"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Annotation:</w:t>
      </w:r>
      <w:r w:rsidRPr="00F832AE">
        <w:rPr>
          <w:rFonts w:ascii="Times New Roman" w:eastAsia="Times New Roman" w:hAnsi="Times New Roman" w:cs="Times New Roman"/>
          <w:kern w:val="0"/>
          <w14:ligatures w14:val="none"/>
        </w:rPr>
        <w:br/>
        <w:t xml:space="preserve">This historiographical study critiques dominant Ethiopian narratives privileging imperial archives and Amharic sources while marginalizing ethno-linguistic groups and oral traditions. The authors advocate a </w:t>
      </w:r>
      <w:r w:rsidRPr="00F832AE">
        <w:rPr>
          <w:rFonts w:ascii="Times New Roman" w:eastAsia="Times New Roman" w:hAnsi="Times New Roman" w:cs="Times New Roman"/>
          <w:b/>
          <w:bCs/>
          <w:kern w:val="0"/>
          <w14:ligatures w14:val="none"/>
        </w:rPr>
        <w:t>postmodernist approach</w:t>
      </w:r>
      <w:r w:rsidRPr="00F832AE">
        <w:rPr>
          <w:rFonts w:ascii="Times New Roman" w:eastAsia="Times New Roman" w:hAnsi="Times New Roman" w:cs="Times New Roman"/>
          <w:kern w:val="0"/>
          <w14:ligatures w14:val="none"/>
        </w:rPr>
        <w:t xml:space="preserve">, incorporating multiple voices to illuminate contested histories and identity constructions. Evidence combines interviews, oral histories, and comparative historiography rather than new archival discoveries. It repositions Ethiopian history as a </w:t>
      </w:r>
      <w:r w:rsidRPr="00F832AE">
        <w:rPr>
          <w:rFonts w:ascii="Times New Roman" w:eastAsia="Times New Roman" w:hAnsi="Times New Roman" w:cs="Times New Roman"/>
          <w:b/>
          <w:bCs/>
          <w:kern w:val="0"/>
          <w14:ligatures w14:val="none"/>
        </w:rPr>
        <w:t>negotiated discursive field</w:t>
      </w:r>
      <w:r w:rsidRPr="00F832AE">
        <w:rPr>
          <w:rFonts w:ascii="Times New Roman" w:eastAsia="Times New Roman" w:hAnsi="Times New Roman" w:cs="Times New Roman"/>
          <w:kern w:val="0"/>
          <w14:ligatures w14:val="none"/>
        </w:rPr>
        <w:t>, emphasizing how state formation, memory, and cohesion intersect. While theoretical breadth may overextend beyond 19th-century sources, the work’s methodological innovation challenges students to evaluate historiographical biases critically. It complements conventional political histories and deepens understanding of Ethiopian state identity, making it essential for advanced historiographical reflection.</w:t>
      </w:r>
    </w:p>
    <w:p w14:paraId="60D97F89"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32B59F29">
          <v:rect id="_x0000_i1031" style="width:0;height:1.5pt" o:hralign="center" o:hrstd="t" o:hr="t" fillcolor="#a0a0a0" stroked="f"/>
        </w:pict>
      </w:r>
    </w:p>
    <w:p w14:paraId="12FEA25C" w14:textId="77777777" w:rsidR="00F832AE" w:rsidRPr="00F832AE" w:rsidRDefault="00F832AE" w:rsidP="00F832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32AE">
        <w:rPr>
          <w:rFonts w:ascii="Segoe UI Emoji" w:eastAsia="Times New Roman" w:hAnsi="Segoe UI Emoji" w:cs="Segoe UI Emoji"/>
          <w:b/>
          <w:bCs/>
          <w:kern w:val="0"/>
          <w:sz w:val="36"/>
          <w:szCs w:val="36"/>
          <w14:ligatures w14:val="none"/>
        </w:rPr>
        <w:t>🧠</w:t>
      </w:r>
      <w:r w:rsidRPr="00F832AE">
        <w:rPr>
          <w:rFonts w:ascii="Times New Roman" w:eastAsia="Times New Roman" w:hAnsi="Times New Roman" w:cs="Times New Roman"/>
          <w:b/>
          <w:bCs/>
          <w:kern w:val="0"/>
          <w:sz w:val="36"/>
          <w:szCs w:val="36"/>
          <w14:ligatures w14:val="none"/>
        </w:rPr>
        <w:t xml:space="preserve"> Research Strategy Log</w:t>
      </w:r>
    </w:p>
    <w:p w14:paraId="4DA75300"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Keywords:</w:t>
      </w:r>
    </w:p>
    <w:p w14:paraId="27280DF4" w14:textId="77777777" w:rsidR="00F832AE" w:rsidRPr="00F832AE" w:rsidRDefault="00F832AE" w:rsidP="00F832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“Ethiopian modernization 19th century state formation Menelik II treaty Wuchale”</w:t>
      </w:r>
    </w:p>
    <w:p w14:paraId="46AC1325" w14:textId="77777777" w:rsidR="00F832AE" w:rsidRPr="00F832AE" w:rsidRDefault="00F832AE" w:rsidP="00F832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“Tewodros II historiography modernity tradition”</w:t>
      </w:r>
    </w:p>
    <w:p w14:paraId="5267538C" w14:textId="77777777" w:rsidR="00F832AE" w:rsidRPr="00F832AE" w:rsidRDefault="00F832AE" w:rsidP="00F832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“Yohannes IV political economy Ethiopian empire sources”</w:t>
      </w:r>
    </w:p>
    <w:p w14:paraId="60FD0B48" w14:textId="77777777" w:rsidR="00F832AE" w:rsidRPr="00F832AE" w:rsidRDefault="00F832AE" w:rsidP="00F832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“Haile Selassie UN 1963 Ethiopian diplomacy archival address”</w:t>
      </w:r>
    </w:p>
    <w:p w14:paraId="66A6B8CC" w14:textId="77777777" w:rsidR="00F832AE" w:rsidRPr="00F832AE" w:rsidRDefault="00F832AE" w:rsidP="00F832A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“historiographical critique Ethiopian state postmodern oral traditions”</w:t>
      </w:r>
    </w:p>
    <w:p w14:paraId="250C5CAD" w14:textId="77777777" w:rsidR="00F832AE" w:rsidRPr="00F832AE" w:rsidRDefault="00F832AE" w:rsidP="00F832AE">
      <w:p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b/>
          <w:bCs/>
          <w:kern w:val="0"/>
          <w14:ligatures w14:val="none"/>
        </w:rPr>
        <w:t>Digital Archives / Databases Consulted:</w:t>
      </w:r>
    </w:p>
    <w:p w14:paraId="664C2845" w14:textId="77777777" w:rsidR="00F832AE" w:rsidRPr="00F832AE" w:rsidRDefault="00F832AE" w:rsidP="00F832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JSTOR, Project MUSE, Taylor &amp; Francis Online (peer-reviewed scholarship)</w:t>
      </w:r>
    </w:p>
    <w:p w14:paraId="12B1CD97" w14:textId="77777777" w:rsidR="00F832AE" w:rsidRPr="00F832AE" w:rsidRDefault="00F832AE" w:rsidP="00F832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United Nations Digital Library (UN speeches)</w:t>
      </w:r>
    </w:p>
    <w:p w14:paraId="4A28CA42" w14:textId="77777777" w:rsidR="00F832AE" w:rsidRPr="00F832AE" w:rsidRDefault="00F832AE" w:rsidP="00F832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University of Parma GSPI digital repository (Treaty of Wuchale)</w:t>
      </w:r>
    </w:p>
    <w:p w14:paraId="19E42CDB" w14:textId="77777777" w:rsidR="00F832AE" w:rsidRPr="00F832AE" w:rsidRDefault="00F832AE" w:rsidP="00F832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Oxford Bibliographies &amp; Cambridge Histories (contextual historiography)</w:t>
      </w:r>
    </w:p>
    <w:p w14:paraId="61999018" w14:textId="77777777" w:rsidR="00F832AE" w:rsidRPr="00F832AE" w:rsidRDefault="00F832AE" w:rsidP="00F832A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t>Digital oral history repositories and Ethiopian Studies journals</w:t>
      </w:r>
    </w:p>
    <w:p w14:paraId="5B39CDF2" w14:textId="77777777" w:rsidR="00F832AE" w:rsidRPr="00F832AE" w:rsidRDefault="00F832AE" w:rsidP="00F832AE">
      <w:pPr>
        <w:spacing w:after="0" w:line="240" w:lineRule="auto"/>
        <w:rPr>
          <w:rFonts w:ascii="Times New Roman" w:eastAsia="Times New Roman" w:hAnsi="Times New Roman" w:cs="Times New Roman"/>
          <w:kern w:val="0"/>
          <w14:ligatures w14:val="none"/>
        </w:rPr>
      </w:pPr>
      <w:r w:rsidRPr="00F832AE">
        <w:rPr>
          <w:rFonts w:ascii="Times New Roman" w:eastAsia="Times New Roman" w:hAnsi="Times New Roman" w:cs="Times New Roman"/>
          <w:kern w:val="0"/>
          <w14:ligatures w14:val="none"/>
        </w:rPr>
        <w:pict w14:anchorId="7CA7B8BD">
          <v:rect id="_x0000_i1032" style="width:0;height:1.5pt" o:hralign="center" o:hrstd="t" o:hr="t" fillcolor="#a0a0a0" stroked="f"/>
        </w:pict>
      </w:r>
    </w:p>
    <w:p w14:paraId="4CDA6F80" w14:textId="10E88F50" w:rsidR="00F832AE" w:rsidRDefault="00F832AE"/>
    <w:sectPr w:rsidR="00F832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A9C"/>
    <w:multiLevelType w:val="multilevel"/>
    <w:tmpl w:val="46E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D414B"/>
    <w:multiLevelType w:val="multilevel"/>
    <w:tmpl w:val="2B2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95135">
    <w:abstractNumId w:val="0"/>
  </w:num>
  <w:num w:numId="2" w16cid:durableId="1454783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AE"/>
    <w:rsid w:val="006F3421"/>
    <w:rsid w:val="00F8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2ACA"/>
  <w15:chartTrackingRefBased/>
  <w15:docId w15:val="{112AE5C6-FAC0-4A23-9818-65F260D9F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2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32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32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2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2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2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32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32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2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2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2AE"/>
    <w:rPr>
      <w:rFonts w:eastAsiaTheme="majorEastAsia" w:cstheme="majorBidi"/>
      <w:color w:val="272727" w:themeColor="text1" w:themeTint="D8"/>
    </w:rPr>
  </w:style>
  <w:style w:type="paragraph" w:styleId="Title">
    <w:name w:val="Title"/>
    <w:basedOn w:val="Normal"/>
    <w:next w:val="Normal"/>
    <w:link w:val="TitleChar"/>
    <w:uiPriority w:val="10"/>
    <w:qFormat/>
    <w:rsid w:val="00F83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2AE"/>
    <w:pPr>
      <w:spacing w:before="160"/>
      <w:jc w:val="center"/>
    </w:pPr>
    <w:rPr>
      <w:i/>
      <w:iCs/>
      <w:color w:val="404040" w:themeColor="text1" w:themeTint="BF"/>
    </w:rPr>
  </w:style>
  <w:style w:type="character" w:customStyle="1" w:styleId="QuoteChar">
    <w:name w:val="Quote Char"/>
    <w:basedOn w:val="DefaultParagraphFont"/>
    <w:link w:val="Quote"/>
    <w:uiPriority w:val="29"/>
    <w:rsid w:val="00F832AE"/>
    <w:rPr>
      <w:i/>
      <w:iCs/>
      <w:color w:val="404040" w:themeColor="text1" w:themeTint="BF"/>
    </w:rPr>
  </w:style>
  <w:style w:type="paragraph" w:styleId="ListParagraph">
    <w:name w:val="List Paragraph"/>
    <w:basedOn w:val="Normal"/>
    <w:uiPriority w:val="34"/>
    <w:qFormat/>
    <w:rsid w:val="00F832AE"/>
    <w:pPr>
      <w:ind w:left="720"/>
      <w:contextualSpacing/>
    </w:pPr>
  </w:style>
  <w:style w:type="character" w:styleId="IntenseEmphasis">
    <w:name w:val="Intense Emphasis"/>
    <w:basedOn w:val="DefaultParagraphFont"/>
    <w:uiPriority w:val="21"/>
    <w:qFormat/>
    <w:rsid w:val="00F832AE"/>
    <w:rPr>
      <w:i/>
      <w:iCs/>
      <w:color w:val="2F5496" w:themeColor="accent1" w:themeShade="BF"/>
    </w:rPr>
  </w:style>
  <w:style w:type="paragraph" w:styleId="IntenseQuote">
    <w:name w:val="Intense Quote"/>
    <w:basedOn w:val="Normal"/>
    <w:next w:val="Normal"/>
    <w:link w:val="IntenseQuoteChar"/>
    <w:uiPriority w:val="30"/>
    <w:qFormat/>
    <w:rsid w:val="00F832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2AE"/>
    <w:rPr>
      <w:i/>
      <w:iCs/>
      <w:color w:val="2F5496" w:themeColor="accent1" w:themeShade="BF"/>
    </w:rPr>
  </w:style>
  <w:style w:type="character" w:styleId="IntenseReference">
    <w:name w:val="Intense Reference"/>
    <w:basedOn w:val="DefaultParagraphFont"/>
    <w:uiPriority w:val="32"/>
    <w:qFormat/>
    <w:rsid w:val="00F832AE"/>
    <w:rPr>
      <w:b/>
      <w:bCs/>
      <w:smallCaps/>
      <w:color w:val="2F5496" w:themeColor="accent1" w:themeShade="BF"/>
      <w:spacing w:val="5"/>
    </w:rPr>
  </w:style>
  <w:style w:type="paragraph" w:styleId="NormalWeb">
    <w:name w:val="Normal (Web)"/>
    <w:basedOn w:val="Normal"/>
    <w:uiPriority w:val="99"/>
    <w:semiHidden/>
    <w:unhideWhenUsed/>
    <w:rsid w:val="00F832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32AE"/>
    <w:rPr>
      <w:b/>
      <w:bCs/>
    </w:rPr>
  </w:style>
  <w:style w:type="character" w:styleId="Emphasis">
    <w:name w:val="Emphasis"/>
    <w:basedOn w:val="DefaultParagraphFont"/>
    <w:uiPriority w:val="20"/>
    <w:qFormat/>
    <w:rsid w:val="00F832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1009</Words>
  <Characters>5754</Characters>
  <Application>Microsoft Office Word</Application>
  <DocSecurity>0</DocSecurity>
  <Lines>47</Lines>
  <Paragraphs>13</Paragraphs>
  <ScaleCrop>false</ScaleCrop>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2026-03-13T16:30:00Z</dcterms:created>
  <dcterms:modified xsi:type="dcterms:W3CDTF">2026-03-13T16:31:00Z</dcterms:modified>
</cp:coreProperties>
</file>