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Pedro Missael Juarez Vazquez</w:t>
      </w:r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Cristian Boyain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3F50A9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3F50A9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3F50A9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3F50A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3F50A9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>. . . . . . . . . . . . . . . . . . . . . .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>Priorización de los atributos de calidad. . . . . . . . . . . . . . . . . . . . . .</w:t>
      </w:r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stakeholders.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Proporcionar un acceso rápido y directo a información importante, como el estatus de inscripción y el kardex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estudiantes tendrán acceso en tiempo real a su estatus de inscripción, su kardex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>Perfiles de los Stakeholders</w:t>
      </w:r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Consultan su estatus de inscripción, calificaciones, kardex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 xml:space="preserve">Equipo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Consultan su estatus de inscripción, calificaciones, kardex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academico</w:t>
            </w:r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2.-Consulta su kardex</w:t>
            </w:r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Evaluacion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caso de uso de manera más extensa. Utiliza un formato que incluya precondi- ciones,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sesion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>-alumno accede a la pagina</w:t>
            </w:r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pagina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1—pagina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r>
              <w:rPr>
                <w:color w:val="000000"/>
              </w:rPr>
              <w:t xml:space="preserve">pagina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0BC67810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 y estar dado de alta en la institución academica</w:t>
            </w:r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>de kardex</w:t>
            </w:r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3F0FCF2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>estado de incripcion</w:t>
            </w:r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inscripcion</w:t>
            </w:r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pagina debe indicar que se recomienda esperar unos días después de inicar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ID-CU-4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evaluacion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evaluacion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761D97">
              <w:rPr>
                <w:color w:val="000000"/>
                <w:sz w:val="24"/>
                <w:szCs w:val="24"/>
              </w:rPr>
              <w:t>Evaluacion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>la infromacion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pagina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11.-pagina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13.-pagina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15.-pagina muestra en un PDF los profesores evaluados y en que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>descargar el PDF en cualquier momento durante las 3 semanas que la evaluacion de docente esta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 de inscripcion</w:t>
            </w:r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03636FE4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8C82DEF" w14:textId="5296F4D4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43B3C0A" w14:textId="6F7B08F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1515C5" w14:textId="69F11F9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5531A7" w14:textId="795EB90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1EDD1FC" w14:textId="5B9D75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26E5E" w14:textId="6C70D2A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F4E4DF3" w14:textId="3A1131B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0AD8D3A" w14:textId="5D0FD00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D3E5E" w14:textId="0B3E66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DFD7FF" w14:textId="6D6E48B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AE7C6A1" w14:textId="68BBF2F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64DDD4" w14:textId="719EB74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0EAE208" w14:textId="7DEE3DD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C6974D" w14:textId="58A742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39FFD8C" w14:textId="4BCEA16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111BE95" w14:textId="30C94AB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455B74" w14:textId="40D2315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BC3D15" w14:textId="028044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CAA529" w14:textId="322ECA6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8186860" w14:textId="6B690E3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853C1BB" w14:textId="003BE3C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9CF4CD" w14:textId="64680AD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75461D" w14:textId="5C0F885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ED9E0F" w14:textId="68D591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435CC63" w14:textId="7EEECF9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A008EA" w14:textId="5882C01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1100D6" w14:textId="4659E59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C98F27" w14:textId="2C856E9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5F12D4B" w14:textId="60635FD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6009BA" w14:textId="026209E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21A009" w14:textId="53051B9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0041AC" w14:textId="52E41529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0CB025" w14:textId="68CE44A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C2C598A" w14:textId="5C73D6A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FF98FE" w14:textId="029D229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3C36E" w14:textId="7FAD39F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968663" w14:textId="30AE57F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714399" w14:textId="333B062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A6790CE" w14:textId="722B271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87B216" w14:textId="7CC7E54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3A6347" w14:paraId="1A770439" w14:textId="77777777" w:rsidTr="00CC7125">
        <w:trPr>
          <w:trHeight w:val="315"/>
        </w:trPr>
        <w:tc>
          <w:tcPr>
            <w:tcW w:w="2696" w:type="dxa"/>
          </w:tcPr>
          <w:p w14:paraId="3EBF28CA" w14:textId="55E36FD4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</w:tcPr>
          <w:p w14:paraId="468C9683" w14:textId="7950186A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Acceso a subir calificaciones al Kardex </w:t>
            </w:r>
          </w:p>
        </w:tc>
      </w:tr>
      <w:tr w:rsidR="003A6347" w14:paraId="65F527F2" w14:textId="77777777" w:rsidTr="00CC7125">
        <w:trPr>
          <w:trHeight w:val="315"/>
        </w:trPr>
        <w:tc>
          <w:tcPr>
            <w:tcW w:w="2696" w:type="dxa"/>
          </w:tcPr>
          <w:p w14:paraId="62E9B00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A122A7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3A6347" w14:paraId="65ECDA3A" w14:textId="77777777" w:rsidTr="00CC7125">
        <w:trPr>
          <w:trHeight w:val="315"/>
        </w:trPr>
        <w:tc>
          <w:tcPr>
            <w:tcW w:w="2696" w:type="dxa"/>
          </w:tcPr>
          <w:p w14:paraId="090A58A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6CF74A5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3A6347" w14:paraId="2072DDBD" w14:textId="77777777" w:rsidTr="00CC7125">
        <w:trPr>
          <w:trHeight w:val="315"/>
        </w:trPr>
        <w:tc>
          <w:tcPr>
            <w:tcW w:w="2696" w:type="dxa"/>
          </w:tcPr>
          <w:p w14:paraId="4A7CDA6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32D4955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3A6347" w14:paraId="6A52EDEC" w14:textId="77777777" w:rsidTr="00CC7125">
        <w:trPr>
          <w:trHeight w:val="315"/>
        </w:trPr>
        <w:tc>
          <w:tcPr>
            <w:tcW w:w="2696" w:type="dxa"/>
          </w:tcPr>
          <w:p w14:paraId="71B1640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D57BF4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3A6347" w14:paraId="6C292781" w14:textId="77777777" w:rsidTr="00CC7125">
        <w:trPr>
          <w:trHeight w:val="315"/>
        </w:trPr>
        <w:tc>
          <w:tcPr>
            <w:tcW w:w="2696" w:type="dxa"/>
          </w:tcPr>
          <w:p w14:paraId="0A7E67BB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E5E211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51D4230F" w14:textId="77777777" w:rsidTr="00CC7125">
        <w:trPr>
          <w:trHeight w:val="315"/>
        </w:trPr>
        <w:tc>
          <w:tcPr>
            <w:tcW w:w="2696" w:type="dxa"/>
          </w:tcPr>
          <w:p w14:paraId="01DD752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7E330C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3A6347" w14:paraId="18C5AC35" w14:textId="77777777" w:rsidTr="00CC7125">
        <w:trPr>
          <w:trHeight w:val="315"/>
        </w:trPr>
        <w:tc>
          <w:tcPr>
            <w:tcW w:w="2696" w:type="dxa"/>
          </w:tcPr>
          <w:p w14:paraId="5251C73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2654A83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3BA29CF7" w14:textId="77777777" w:rsidTr="00CC7125">
        <w:trPr>
          <w:trHeight w:val="832"/>
        </w:trPr>
        <w:tc>
          <w:tcPr>
            <w:tcW w:w="2696" w:type="dxa"/>
          </w:tcPr>
          <w:p w14:paraId="726C348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C2755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4C0681FC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30B56C8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3B11319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1DA735D6" w14:textId="03B3A22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</w:t>
            </w:r>
            <w:r>
              <w:rPr>
                <w:color w:val="000000"/>
                <w:sz w:val="24"/>
                <w:szCs w:val="24"/>
              </w:rPr>
              <w:t xml:space="preserve"> opción de actualizar sus calificaciones de los alumnos</w:t>
            </w:r>
          </w:p>
          <w:p w14:paraId="1D60718F" w14:textId="66C19818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el profesor ingresa la tabla de calificaciones actualizada</w:t>
            </w:r>
          </w:p>
          <w:p w14:paraId="2BF4B1C1" w14:textId="5FB3C94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pagina vuelve a actualizar la información</w:t>
            </w:r>
          </w:p>
          <w:p w14:paraId="32C902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645F6B4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3A6347" w14:paraId="1DB93417" w14:textId="77777777" w:rsidTr="00CC7125">
        <w:trPr>
          <w:trHeight w:val="315"/>
        </w:trPr>
        <w:tc>
          <w:tcPr>
            <w:tcW w:w="2696" w:type="dxa"/>
          </w:tcPr>
          <w:p w14:paraId="686C8F5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7C3CDC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3A6347" w14:paraId="644AE365" w14:textId="77777777" w:rsidTr="00CC7125">
        <w:trPr>
          <w:trHeight w:val="315"/>
        </w:trPr>
        <w:tc>
          <w:tcPr>
            <w:tcW w:w="2696" w:type="dxa"/>
          </w:tcPr>
          <w:p w14:paraId="65101B1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EB244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5223444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1.-pagina regresa a flujo 2 </w:t>
            </w:r>
          </w:p>
          <w:p w14:paraId="629094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1.2.- pagina rechaza el formato de las calificaciones</w:t>
            </w:r>
          </w:p>
          <w:p w14:paraId="18DCA8F8" w14:textId="0412365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 pagina regresa al flujo 5</w:t>
            </w:r>
          </w:p>
        </w:tc>
      </w:tr>
      <w:tr w:rsidR="003A6347" w14:paraId="7EAEB191" w14:textId="77777777" w:rsidTr="00CC7125">
        <w:trPr>
          <w:trHeight w:val="315"/>
        </w:trPr>
        <w:tc>
          <w:tcPr>
            <w:tcW w:w="2696" w:type="dxa"/>
          </w:tcPr>
          <w:p w14:paraId="280287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41397A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7D300EC3" w14:textId="77777777" w:rsidTr="00CC7125">
        <w:trPr>
          <w:trHeight w:val="315"/>
        </w:trPr>
        <w:tc>
          <w:tcPr>
            <w:tcW w:w="2696" w:type="dxa"/>
          </w:tcPr>
          <w:p w14:paraId="0EDF133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EF0210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3A6347" w14:paraId="74ACED96" w14:textId="77777777" w:rsidTr="00CC7125">
        <w:trPr>
          <w:trHeight w:val="315"/>
        </w:trPr>
        <w:tc>
          <w:tcPr>
            <w:tcW w:w="8556" w:type="dxa"/>
            <w:gridSpan w:val="2"/>
          </w:tcPr>
          <w:p w14:paraId="37B34D65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3A6347" w14:paraId="1EDF11C4" w14:textId="77777777" w:rsidTr="00CC7125">
        <w:trPr>
          <w:trHeight w:val="315"/>
        </w:trPr>
        <w:tc>
          <w:tcPr>
            <w:tcW w:w="8556" w:type="dxa"/>
            <w:gridSpan w:val="2"/>
          </w:tcPr>
          <w:p w14:paraId="292381C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236E43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1BB30B24" w14:textId="7777777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atri- butos de calidad. 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 xml:space="preserve">como ejemplo para la priorización de atributos de calidad, toma en cuenta </w:t>
      </w:r>
      <w:r>
        <w:rPr>
          <w:color w:val="0000FF"/>
          <w:sz w:val="24"/>
          <w:szCs w:val="24"/>
        </w:rPr>
        <w:lastRenderedPageBreak/>
        <w:t>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Repite el proceso para cada atributo de calidad identificado, numerándolos de manera se- cuencial.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7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F82E" w14:textId="77777777" w:rsidR="003F50A9" w:rsidRDefault="003F50A9">
      <w:r>
        <w:separator/>
      </w:r>
    </w:p>
  </w:endnote>
  <w:endnote w:type="continuationSeparator" w:id="0">
    <w:p w14:paraId="0AECEBFC" w14:textId="77777777" w:rsidR="003F50A9" w:rsidRDefault="003F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4D68" w14:textId="77777777" w:rsidR="003F50A9" w:rsidRDefault="003F50A9">
      <w:r>
        <w:separator/>
      </w:r>
    </w:p>
  </w:footnote>
  <w:footnote w:type="continuationSeparator" w:id="0">
    <w:p w14:paraId="61974601" w14:textId="77777777" w:rsidR="003F50A9" w:rsidRDefault="003F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 Requerimientos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 Requerimientos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 Requerimientos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6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 Requerimientos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7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Dxwa/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38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DI1LbD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9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CPsicN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 Requerimientos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0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1wSt/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1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2501F"/>
    <w:rsid w:val="00137475"/>
    <w:rsid w:val="001679C3"/>
    <w:rsid w:val="00172C54"/>
    <w:rsid w:val="001C27B6"/>
    <w:rsid w:val="001E087F"/>
    <w:rsid w:val="00283E81"/>
    <w:rsid w:val="0031763A"/>
    <w:rsid w:val="003A6347"/>
    <w:rsid w:val="003E26FC"/>
    <w:rsid w:val="003F50A9"/>
    <w:rsid w:val="004F12BB"/>
    <w:rsid w:val="005B0757"/>
    <w:rsid w:val="005B5752"/>
    <w:rsid w:val="005E3553"/>
    <w:rsid w:val="00630AAA"/>
    <w:rsid w:val="00652A80"/>
    <w:rsid w:val="00660B6C"/>
    <w:rsid w:val="00673729"/>
    <w:rsid w:val="007246C9"/>
    <w:rsid w:val="00761D97"/>
    <w:rsid w:val="0079423A"/>
    <w:rsid w:val="008228F6"/>
    <w:rsid w:val="00830998"/>
    <w:rsid w:val="008A2748"/>
    <w:rsid w:val="008A64EC"/>
    <w:rsid w:val="00923189"/>
    <w:rsid w:val="00943280"/>
    <w:rsid w:val="00961A2D"/>
    <w:rsid w:val="00A30C4F"/>
    <w:rsid w:val="00A3300F"/>
    <w:rsid w:val="00B7667C"/>
    <w:rsid w:val="00BB466A"/>
    <w:rsid w:val="00C61CCA"/>
    <w:rsid w:val="00CF7AA6"/>
    <w:rsid w:val="00D73B30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24</Pages>
  <Words>4928</Words>
  <Characters>27106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25</cp:revision>
  <dcterms:created xsi:type="dcterms:W3CDTF">2024-10-30T02:07:00Z</dcterms:created>
  <dcterms:modified xsi:type="dcterms:W3CDTF">2024-12-03T06:40:00Z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