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62B12" w14:textId="6CEA92E3" w:rsidR="00A600F2" w:rsidRPr="00001D4B" w:rsidRDefault="009800E9">
      <w:pPr>
        <w:jc w:val="both"/>
        <w:rPr>
          <w:b/>
          <w:bCs/>
          <w:lang w:val="fr-FR"/>
        </w:rPr>
      </w:pPr>
      <w:r w:rsidRPr="00001D4B">
        <w:rPr>
          <w:b/>
          <w:lang w:val="fr-FR"/>
        </w:rPr>
        <w:t xml:space="preserve">Burundi : Une fois de plus, le droit à un </w:t>
      </w:r>
      <w:r w:rsidRPr="00001D4B">
        <w:rPr>
          <w:b/>
          <w:bCs/>
          <w:lang w:val="fr-FR"/>
        </w:rPr>
        <w:t xml:space="preserve">procès </w:t>
      </w:r>
      <w:r w:rsidRPr="00001D4B">
        <w:rPr>
          <w:b/>
          <w:lang w:val="fr-FR"/>
        </w:rPr>
        <w:t xml:space="preserve">équitable du défenseur des droits humains Germain Rukuki </w:t>
      </w:r>
      <w:r w:rsidRPr="00001D4B">
        <w:rPr>
          <w:b/>
          <w:bCs/>
          <w:lang w:val="fr-FR"/>
        </w:rPr>
        <w:t xml:space="preserve">est </w:t>
      </w:r>
      <w:r w:rsidR="00EF5063">
        <w:rPr>
          <w:b/>
          <w:bCs/>
          <w:lang w:val="fr-FR"/>
        </w:rPr>
        <w:t>bafoué</w:t>
      </w:r>
    </w:p>
    <w:p w14:paraId="61CEC5E5" w14:textId="1D5359ED" w:rsidR="00030EFD" w:rsidRPr="00001D4B" w:rsidRDefault="00030EFD" w:rsidP="00001D4B">
      <w:pPr>
        <w:jc w:val="center"/>
        <w:rPr>
          <w:lang w:val="fr-FR"/>
        </w:rPr>
      </w:pPr>
      <w:r w:rsidRPr="00001D4B">
        <w:rPr>
          <w:lang w:val="fr-FR"/>
        </w:rPr>
        <w:t>Appel aux autorités du Burundi</w:t>
      </w:r>
      <w:r w:rsidR="00FD0379">
        <w:rPr>
          <w:lang w:val="fr-FR"/>
        </w:rPr>
        <w:t xml:space="preserve"> </w:t>
      </w:r>
    </w:p>
    <w:p w14:paraId="644F2DC6" w14:textId="71757CB2" w:rsidR="00A600F2" w:rsidRPr="00EA3B09" w:rsidRDefault="001F410F">
      <w:pPr>
        <w:spacing w:line="276" w:lineRule="auto"/>
        <w:jc w:val="right"/>
        <w:rPr>
          <w:b/>
          <w:lang w:val="fr-FR"/>
        </w:rPr>
      </w:pPr>
      <w:r w:rsidRPr="00EA3B09">
        <w:rPr>
          <w:b/>
          <w:lang w:val="fr-FR"/>
        </w:rPr>
        <w:t>21/</w:t>
      </w:r>
      <w:r w:rsidR="009800E9" w:rsidRPr="00EA3B09">
        <w:rPr>
          <w:b/>
          <w:lang w:val="fr-FR"/>
        </w:rPr>
        <w:t>/05/2021</w:t>
      </w:r>
    </w:p>
    <w:p w14:paraId="4C9BF5C5" w14:textId="30918A76" w:rsidR="00A600F2" w:rsidRPr="00001D4B" w:rsidRDefault="009800E9">
      <w:pPr>
        <w:spacing w:line="276" w:lineRule="auto"/>
        <w:jc w:val="both"/>
        <w:rPr>
          <w:lang w:val="fr-FR"/>
        </w:rPr>
      </w:pPr>
      <w:r w:rsidRPr="00001D4B">
        <w:rPr>
          <w:lang w:val="fr-FR"/>
        </w:rPr>
        <w:t xml:space="preserve">Nous, les organisations soussignées, exprimons notre consternation quant au fait que la Cour d'appel burundaise de </w:t>
      </w:r>
      <w:proofErr w:type="spellStart"/>
      <w:r w:rsidRPr="00001D4B">
        <w:rPr>
          <w:lang w:val="fr-FR"/>
        </w:rPr>
        <w:t>Ntahangwa</w:t>
      </w:r>
      <w:proofErr w:type="spellEnd"/>
      <w:r w:rsidRPr="00001D4B">
        <w:rPr>
          <w:lang w:val="fr-FR"/>
        </w:rPr>
        <w:t xml:space="preserve"> n'a pas encore annoncé un verdict dans l'affaire du défenseur des droits</w:t>
      </w:r>
      <w:r w:rsidR="00001D4B">
        <w:rPr>
          <w:lang w:val="fr-FR"/>
        </w:rPr>
        <w:t xml:space="preserve"> humains</w:t>
      </w:r>
      <w:r w:rsidRPr="00001D4B">
        <w:rPr>
          <w:lang w:val="fr-FR"/>
        </w:rPr>
        <w:t xml:space="preserve"> M. Germain Rukuki. Selon les statuts juridiques, ce verdict devait être rendu dans les 30 jours suivant l'audience d'appel, soit avant le 24 avril 2021</w:t>
      </w:r>
      <w:r w:rsidR="00EF5063">
        <w:rPr>
          <w:lang w:val="fr-FR"/>
        </w:rPr>
        <w:t>. S’</w:t>
      </w:r>
      <w:r w:rsidRPr="00001D4B">
        <w:rPr>
          <w:lang w:val="fr-FR"/>
        </w:rPr>
        <w:t xml:space="preserve">ajoutant </w:t>
      </w:r>
      <w:r w:rsidR="00EF5063">
        <w:rPr>
          <w:lang w:val="fr-FR"/>
        </w:rPr>
        <w:t xml:space="preserve">aux nombreuses </w:t>
      </w:r>
      <w:r w:rsidRPr="00001D4B">
        <w:rPr>
          <w:lang w:val="fr-FR"/>
        </w:rPr>
        <w:t>irrégularités qui ont caractérisé la procédure judiciaire dans cette affaire depuis l'arrestation de M. Rukuki en 2017,</w:t>
      </w:r>
      <w:r w:rsidR="00001D4B">
        <w:rPr>
          <w:lang w:val="fr-FR"/>
        </w:rPr>
        <w:t xml:space="preserve"> </w:t>
      </w:r>
      <w:r w:rsidRPr="00001D4B">
        <w:rPr>
          <w:lang w:val="fr-FR"/>
        </w:rPr>
        <w:t xml:space="preserve">ce retard </w:t>
      </w:r>
      <w:r w:rsidR="00001D4B" w:rsidRPr="00001D4B">
        <w:rPr>
          <w:lang w:val="fr-FR"/>
        </w:rPr>
        <w:t>indu aggrave</w:t>
      </w:r>
      <w:r w:rsidRPr="00001D4B">
        <w:rPr>
          <w:lang w:val="fr-FR"/>
        </w:rPr>
        <w:t xml:space="preserve"> encore la violation du droit de M. Rukuki à un procès équitable et à une procédure régulière. </w:t>
      </w:r>
    </w:p>
    <w:p w14:paraId="1630758A" w14:textId="5A79ABC1" w:rsidR="00A600F2" w:rsidRPr="00001D4B" w:rsidRDefault="00123E48">
      <w:pPr>
        <w:spacing w:line="276" w:lineRule="auto"/>
        <w:jc w:val="both"/>
        <w:rPr>
          <w:lang w:val="fr-FR"/>
        </w:rPr>
      </w:pPr>
      <w:r w:rsidRPr="00001D4B">
        <w:rPr>
          <w:lang w:val="fr-FR"/>
        </w:rPr>
        <w:t xml:space="preserve">Le 30 juin </w:t>
      </w:r>
      <w:r w:rsidR="009800E9" w:rsidRPr="00001D4B">
        <w:rPr>
          <w:lang w:val="fr-FR"/>
        </w:rPr>
        <w:t xml:space="preserve">2020, la Cour suprême du Burundi a annulé la décision de la Cour d'appel de maintenir la peine de 32 ans dans le cas de M. Rukuki et a ordonné une deuxième audience en appel, citant des violations de son droit à un procès équitable. Cette deuxième audience en appel a eu lieu 8 mois plus tard, le 24 mars 2021, à la prison de Ngozi, où M. Rukuki est actuellement détenu. Selon le Code de procédure pénale burundais, après l'audience, la Cour a 30 jours pour rendre un verdict sur l'affaire, mais ce </w:t>
      </w:r>
      <w:r w:rsidR="00CC6218" w:rsidRPr="00001D4B">
        <w:rPr>
          <w:lang w:val="fr-FR"/>
        </w:rPr>
        <w:t xml:space="preserve">verdict </w:t>
      </w:r>
      <w:r w:rsidR="009800E9" w:rsidRPr="00001D4B">
        <w:rPr>
          <w:lang w:val="fr-FR"/>
        </w:rPr>
        <w:t xml:space="preserve">est toujours en attente près de 60 jours plus tard. Ce retard démontre l'absence de procédure régulière dans le cas de ce défenseur des droits </w:t>
      </w:r>
      <w:r w:rsidR="00001D4B">
        <w:rPr>
          <w:lang w:val="fr-FR"/>
        </w:rPr>
        <w:t>humains</w:t>
      </w:r>
      <w:r w:rsidR="00001D4B" w:rsidRPr="00001D4B">
        <w:rPr>
          <w:lang w:val="fr-FR"/>
        </w:rPr>
        <w:t xml:space="preserve"> </w:t>
      </w:r>
      <w:r w:rsidR="009800E9" w:rsidRPr="00001D4B">
        <w:rPr>
          <w:lang w:val="fr-FR"/>
        </w:rPr>
        <w:t xml:space="preserve">et prisonnier politique internationalement reconnu. </w:t>
      </w:r>
    </w:p>
    <w:p w14:paraId="5C19E2FB" w14:textId="19D754EB" w:rsidR="00A600F2" w:rsidRPr="00001D4B" w:rsidRDefault="009800E9">
      <w:pPr>
        <w:spacing w:line="276" w:lineRule="auto"/>
        <w:jc w:val="both"/>
        <w:rPr>
          <w:lang w:val="fr-FR"/>
        </w:rPr>
      </w:pPr>
      <w:r w:rsidRPr="00001D4B">
        <w:rPr>
          <w:lang w:val="fr-FR"/>
        </w:rPr>
        <w:t xml:space="preserve">Germain Rukuki est un défenseur des droits </w:t>
      </w:r>
      <w:r w:rsidR="00001D4B">
        <w:rPr>
          <w:lang w:val="fr-FR"/>
        </w:rPr>
        <w:t>humains</w:t>
      </w:r>
      <w:r w:rsidR="00001D4B" w:rsidRPr="00001D4B">
        <w:rPr>
          <w:lang w:val="fr-FR"/>
        </w:rPr>
        <w:t xml:space="preserve"> </w:t>
      </w:r>
      <w:r w:rsidRPr="00001D4B">
        <w:rPr>
          <w:lang w:val="fr-FR"/>
        </w:rPr>
        <w:t>burundais et père de</w:t>
      </w:r>
      <w:r w:rsidR="00001D4B">
        <w:rPr>
          <w:lang w:val="fr-FR"/>
        </w:rPr>
        <w:t xml:space="preserve"> </w:t>
      </w:r>
      <w:r w:rsidRPr="00001D4B">
        <w:rPr>
          <w:lang w:val="fr-FR"/>
        </w:rPr>
        <w:t>trois enfants. Au moment de son arrestation, Rukuki travaillait pour l'AJCB</w:t>
      </w:r>
      <w:r w:rsidR="00001D4B">
        <w:rPr>
          <w:lang w:val="fr-FR"/>
        </w:rPr>
        <w:t xml:space="preserve"> </w:t>
      </w:r>
      <w:r w:rsidRPr="00001D4B">
        <w:rPr>
          <w:lang w:val="fr-FR"/>
        </w:rPr>
        <w:t>(Association des juristes catholiques du Burundi)</w:t>
      </w:r>
      <w:r w:rsidR="00123E48" w:rsidRPr="00001D4B">
        <w:rPr>
          <w:lang w:val="fr-FR"/>
        </w:rPr>
        <w:t xml:space="preserve">, </w:t>
      </w:r>
      <w:r w:rsidRPr="00001D4B">
        <w:rPr>
          <w:lang w:val="fr-FR"/>
        </w:rPr>
        <w:t>après avoir travaillé auparavant pour l'ACAT-Burundi (Action des chrétiens pour l'abolition de la torture).</w:t>
      </w:r>
      <w:r w:rsidR="00001D4B">
        <w:rPr>
          <w:lang w:val="fr-FR"/>
        </w:rPr>
        <w:t xml:space="preserve"> </w:t>
      </w:r>
      <w:r w:rsidRPr="00001D4B">
        <w:rPr>
          <w:lang w:val="fr-FR"/>
        </w:rPr>
        <w:t>L'ACAT-Burundi a été suspendue par le gouvernement en novembre 2015, dans le cadre d'une vaste opération de répression contre les organisations de la société civile, notamment quatre autres groupes de défense des droits humains qui s'opposaient également à la candidature du président de l'époque, M. Nkurunziza, à un troisième mandat. M. Rukuki était également cofondateur</w:t>
      </w:r>
      <w:r w:rsidR="00001D4B">
        <w:rPr>
          <w:lang w:val="fr-FR"/>
        </w:rPr>
        <w:t xml:space="preserve"> </w:t>
      </w:r>
      <w:r w:rsidRPr="00001D4B">
        <w:rPr>
          <w:lang w:val="fr-FR"/>
        </w:rPr>
        <w:t xml:space="preserve">de </w:t>
      </w:r>
      <w:proofErr w:type="spellStart"/>
      <w:r w:rsidRPr="00001D4B">
        <w:rPr>
          <w:lang w:val="fr-FR"/>
        </w:rPr>
        <w:t>Njabutsa</w:t>
      </w:r>
      <w:proofErr w:type="spellEnd"/>
      <w:r w:rsidRPr="00001D4B">
        <w:rPr>
          <w:lang w:val="fr-FR"/>
        </w:rPr>
        <w:t xml:space="preserve"> </w:t>
      </w:r>
      <w:proofErr w:type="spellStart"/>
      <w:r w:rsidRPr="00001D4B">
        <w:rPr>
          <w:lang w:val="fr-FR"/>
        </w:rPr>
        <w:t>Tujane</w:t>
      </w:r>
      <w:proofErr w:type="spellEnd"/>
      <w:r w:rsidRPr="00001D4B">
        <w:rPr>
          <w:lang w:val="fr-FR"/>
        </w:rPr>
        <w:t>, une association communautaire qui milite contre la pauvreté et la famine, et pour un meilleur accès à la santé. En juillet 2017, M. Rukuki a été arrêté sans mandat et</w:t>
      </w:r>
      <w:r w:rsidR="00001D4B">
        <w:rPr>
          <w:lang w:val="fr-FR"/>
        </w:rPr>
        <w:t xml:space="preserve"> </w:t>
      </w:r>
      <w:r w:rsidRPr="00001D4B">
        <w:rPr>
          <w:lang w:val="fr-FR"/>
        </w:rPr>
        <w:t>détenu par le SNR (Service national de renseignement) avant d'être transféré à la prison de Ngozi où il est détenu depuis.  Son emploi antérieur à l'ACAT-Burundi a constitué la base des accusations portées contre</w:t>
      </w:r>
      <w:r w:rsidR="00001D4B">
        <w:rPr>
          <w:lang w:val="fr-FR"/>
        </w:rPr>
        <w:t xml:space="preserve"> </w:t>
      </w:r>
      <w:r w:rsidRPr="00001D4B">
        <w:rPr>
          <w:lang w:val="fr-FR"/>
        </w:rPr>
        <w:t>lui et, bien qu'aucune preuve concluante n'ait jamais été présentée, il a été condamné à 32 ans de prison, notamment pour rébellion et atteinte à la sûreté de l'État.</w:t>
      </w:r>
      <w:bookmarkStart w:id="0" w:name="DeltaPlaceHolderMain"/>
      <w:bookmarkStart w:id="1" w:name="ctl00_PlaceHolderMain_DisplayNewsID_lblN"/>
      <w:bookmarkEnd w:id="0"/>
      <w:bookmarkEnd w:id="1"/>
      <w:r w:rsidRPr="00001D4B">
        <w:rPr>
          <w:lang w:val="fr-FR"/>
        </w:rPr>
        <w:t xml:space="preserve"> </w:t>
      </w:r>
    </w:p>
    <w:p w14:paraId="6AD0D0C7" w14:textId="6FD397A2" w:rsidR="0011558A" w:rsidRPr="00001D4B" w:rsidRDefault="009800E9">
      <w:pPr>
        <w:spacing w:line="276" w:lineRule="auto"/>
        <w:jc w:val="both"/>
        <w:rPr>
          <w:lang w:val="fr-FR"/>
        </w:rPr>
      </w:pPr>
      <w:bookmarkStart w:id="2" w:name="__DdeLink__31_3861412258"/>
      <w:r w:rsidRPr="00001D4B">
        <w:rPr>
          <w:lang w:val="fr-FR"/>
        </w:rPr>
        <w:t>Les violations du droit de M. Rukuki à un procès équitable et à une procédure régulière</w:t>
      </w:r>
      <w:bookmarkEnd w:id="2"/>
      <w:r w:rsidRPr="00001D4B">
        <w:rPr>
          <w:lang w:val="fr-FR"/>
        </w:rPr>
        <w:t xml:space="preserve"> ont été reconnues et condamnées au niveau international, notamment </w:t>
      </w:r>
      <w:r w:rsidR="00CC6218" w:rsidRPr="00001D4B">
        <w:rPr>
          <w:lang w:val="fr-FR"/>
        </w:rPr>
        <w:t xml:space="preserve">dans </w:t>
      </w:r>
      <w:r w:rsidRPr="00001D4B">
        <w:rPr>
          <w:lang w:val="fr-FR"/>
        </w:rPr>
        <w:t xml:space="preserve">une </w:t>
      </w:r>
      <w:hyperlink r:id="rId8" w:history="1">
        <w:r w:rsidR="00D13FB7" w:rsidRPr="00D13FB7">
          <w:rPr>
            <w:rStyle w:val="Hyperlink"/>
            <w:lang w:val="fr-FR"/>
          </w:rPr>
          <w:t>lettre</w:t>
        </w:r>
      </w:hyperlink>
      <w:r w:rsidR="00D13FB7">
        <w:rPr>
          <w:lang w:val="fr-FR"/>
        </w:rPr>
        <w:t xml:space="preserve"> </w:t>
      </w:r>
      <w:r w:rsidRPr="00001D4B">
        <w:rPr>
          <w:lang w:val="fr-FR"/>
        </w:rPr>
        <w:t xml:space="preserve">adressée au président </w:t>
      </w:r>
      <w:r w:rsidR="002005EC" w:rsidRPr="00001D4B">
        <w:rPr>
          <w:lang w:val="fr-FR"/>
        </w:rPr>
        <w:t xml:space="preserve">Évariste </w:t>
      </w:r>
      <w:r w:rsidRPr="00001D4B">
        <w:rPr>
          <w:lang w:val="fr-FR"/>
        </w:rPr>
        <w:t xml:space="preserve">Ndayishimiye par cinq procédures spéciales des Nations unies en septembre 2020 </w:t>
      </w:r>
      <w:r w:rsidR="0011558A" w:rsidRPr="00001D4B">
        <w:rPr>
          <w:lang w:val="fr-FR"/>
        </w:rPr>
        <w:t>:</w:t>
      </w:r>
    </w:p>
    <w:p w14:paraId="48E936FF" w14:textId="62ADA00B" w:rsidR="002005EC" w:rsidRPr="00D13FB7" w:rsidRDefault="0011558A">
      <w:pPr>
        <w:spacing w:line="276" w:lineRule="auto"/>
        <w:jc w:val="both"/>
        <w:rPr>
          <w:lang w:val="fr-FR"/>
        </w:rPr>
      </w:pPr>
      <w:r w:rsidRPr="00001D4B">
        <w:rPr>
          <w:i/>
          <w:sz w:val="23"/>
          <w:szCs w:val="23"/>
          <w:lang w:val="fr-FR"/>
        </w:rPr>
        <w:t>"</w:t>
      </w:r>
      <w:r w:rsidR="00001D4B" w:rsidRPr="00001D4B">
        <w:rPr>
          <w:lang w:val="fr-FR"/>
        </w:rPr>
        <w:t xml:space="preserve"> </w:t>
      </w:r>
      <w:r w:rsidR="00001D4B" w:rsidRPr="00001D4B">
        <w:rPr>
          <w:i/>
          <w:sz w:val="23"/>
          <w:szCs w:val="23"/>
          <w:lang w:val="fr-FR"/>
        </w:rPr>
        <w:t xml:space="preserve">De nombreuses irrégularités et vices de procédure auraient été enregistrés au cours du procès qui s’est tenu à huis clos, notamment concernant les nouvelles infractions retenues, lesquelles </w:t>
      </w:r>
      <w:r w:rsidR="00001D4B" w:rsidRPr="00001D4B">
        <w:rPr>
          <w:i/>
          <w:sz w:val="23"/>
          <w:szCs w:val="23"/>
          <w:lang w:val="fr-FR"/>
        </w:rPr>
        <w:lastRenderedPageBreak/>
        <w:t>n’ont pas fait l’objet d’une instruction. De plus, il est rapporté que pratiquement aucun élément de preuve n’aurait été présenté par le ministère public</w:t>
      </w:r>
      <w:r w:rsidRPr="00001D4B">
        <w:rPr>
          <w:i/>
          <w:sz w:val="23"/>
          <w:szCs w:val="23"/>
          <w:lang w:val="fr-FR"/>
        </w:rPr>
        <w:t xml:space="preserve">... </w:t>
      </w:r>
      <w:r w:rsidRPr="00001D4B">
        <w:rPr>
          <w:lang w:val="fr-FR"/>
        </w:rPr>
        <w:t xml:space="preserve">” </w:t>
      </w:r>
      <w:r w:rsidR="00817F84">
        <w:rPr>
          <w:rStyle w:val="FootnoteReference"/>
        </w:rPr>
        <w:footnoteReference w:id="1"/>
      </w:r>
    </w:p>
    <w:p w14:paraId="6825ABB2" w14:textId="0510F98D" w:rsidR="00A600F2" w:rsidRPr="00001D4B" w:rsidRDefault="009800E9">
      <w:pPr>
        <w:spacing w:line="276" w:lineRule="auto"/>
        <w:jc w:val="both"/>
        <w:rPr>
          <w:lang w:val="fr-FR"/>
        </w:rPr>
      </w:pPr>
      <w:r w:rsidRPr="00001D4B">
        <w:rPr>
          <w:lang w:val="fr-FR"/>
        </w:rPr>
        <w:t xml:space="preserve">De plus, la détention de M. Rukuki viole les principes et les directives sur le droit à un procès équitable et à l'assistance juridique tels qu'énoncés dans la </w:t>
      </w:r>
      <w:bookmarkStart w:id="3" w:name="__DdeLink__29_3861412258"/>
      <w:r w:rsidR="002005EC" w:rsidRPr="00001D4B">
        <w:rPr>
          <w:lang w:val="fr-FR"/>
        </w:rPr>
        <w:t>Charte africaine des droits de l'homme et des peuples</w:t>
      </w:r>
      <w:bookmarkEnd w:id="3"/>
      <w:r w:rsidR="002005EC" w:rsidRPr="00001D4B">
        <w:rPr>
          <w:lang w:val="fr-FR"/>
        </w:rPr>
        <w:t xml:space="preserve"> </w:t>
      </w:r>
      <w:r w:rsidRPr="00001D4B">
        <w:rPr>
          <w:lang w:val="fr-FR"/>
        </w:rPr>
        <w:t xml:space="preserve">et le </w:t>
      </w:r>
      <w:r w:rsidR="002005EC" w:rsidRPr="00001D4B">
        <w:rPr>
          <w:lang w:val="fr-FR"/>
        </w:rPr>
        <w:t>Pacte international relatif aux</w:t>
      </w:r>
      <w:r w:rsidR="00A43283">
        <w:rPr>
          <w:lang w:val="fr-FR"/>
        </w:rPr>
        <w:t xml:space="preserve"> </w:t>
      </w:r>
      <w:r w:rsidR="00035AB1" w:rsidRPr="00001D4B">
        <w:rPr>
          <w:lang w:val="fr-FR"/>
        </w:rPr>
        <w:t>droits civils et politiques</w:t>
      </w:r>
      <w:r w:rsidR="002005EC" w:rsidRPr="00001D4B">
        <w:rPr>
          <w:lang w:val="fr-FR"/>
        </w:rPr>
        <w:t xml:space="preserve">, </w:t>
      </w:r>
      <w:r w:rsidR="00A43283">
        <w:rPr>
          <w:lang w:val="fr-FR"/>
        </w:rPr>
        <w:t>auquel</w:t>
      </w:r>
      <w:r w:rsidRPr="00001D4B">
        <w:rPr>
          <w:lang w:val="fr-FR"/>
        </w:rPr>
        <w:t xml:space="preserve"> le Burundi est </w:t>
      </w:r>
      <w:r w:rsidR="00A43283" w:rsidRPr="00001D4B">
        <w:rPr>
          <w:lang w:val="fr-FR"/>
        </w:rPr>
        <w:t>parti</w:t>
      </w:r>
      <w:r w:rsidRPr="00001D4B">
        <w:rPr>
          <w:lang w:val="fr-FR"/>
        </w:rPr>
        <w:t xml:space="preserve"> depuis 1990. </w:t>
      </w:r>
    </w:p>
    <w:p w14:paraId="0838B6D1" w14:textId="468746E2" w:rsidR="00A600F2" w:rsidRPr="00001D4B" w:rsidRDefault="009800E9">
      <w:pPr>
        <w:spacing w:line="276" w:lineRule="auto"/>
        <w:jc w:val="both"/>
        <w:rPr>
          <w:lang w:val="fr-FR"/>
        </w:rPr>
      </w:pPr>
      <w:r w:rsidRPr="00001D4B">
        <w:rPr>
          <w:lang w:val="fr-FR"/>
        </w:rPr>
        <w:t xml:space="preserve">Germain Rukuki a maintenant passé près de 4 ans en prison. Il a déjà attendu 30 jours supplémentaires pour que ce verdict final soit annoncé sans aucune raison légale ; il ne devrait pas avoir à attendre plus longtemps. </w:t>
      </w:r>
      <w:r w:rsidR="00BE179E" w:rsidRPr="00BE179E">
        <w:rPr>
          <w:lang w:val="fr-FR"/>
        </w:rPr>
        <w:t>Nous appelons le gouvernement burundais à démontrer son engagement à respecter l'indépendance du pouvoir judiciaire. Nous demandons également à la Cour d'appel burundaise de se conformer pleinement aux obligations du Burundi en matière de procès équitable en vertu du droit international, en annonçant immédiatemen</w:t>
      </w:r>
      <w:r w:rsidR="00BE179E">
        <w:rPr>
          <w:lang w:val="fr-FR"/>
        </w:rPr>
        <w:t>t le verdict dans cette affaire</w:t>
      </w:r>
      <w:r w:rsidRPr="00001D4B">
        <w:rPr>
          <w:lang w:val="fr-FR"/>
        </w:rPr>
        <w:t>.</w:t>
      </w:r>
    </w:p>
    <w:p w14:paraId="4437B387" w14:textId="77777777" w:rsidR="00A43283" w:rsidRDefault="00A43283" w:rsidP="00001D4B">
      <w:pPr>
        <w:spacing w:after="0" w:line="276" w:lineRule="auto"/>
        <w:jc w:val="both"/>
        <w:rPr>
          <w:u w:val="single"/>
          <w:lang w:val="fr-FR"/>
        </w:rPr>
      </w:pPr>
    </w:p>
    <w:p w14:paraId="1E4748E8" w14:textId="77424400" w:rsidR="00A600F2" w:rsidRPr="00001D4B" w:rsidRDefault="009800E9" w:rsidP="00001D4B">
      <w:pPr>
        <w:spacing w:after="0" w:line="276" w:lineRule="auto"/>
        <w:jc w:val="both"/>
        <w:rPr>
          <w:u w:val="single"/>
          <w:lang w:val="fr-FR"/>
        </w:rPr>
      </w:pPr>
      <w:r w:rsidRPr="00001D4B">
        <w:rPr>
          <w:u w:val="single"/>
          <w:lang w:val="fr-FR"/>
        </w:rPr>
        <w:t>Signé</w:t>
      </w:r>
    </w:p>
    <w:p w14:paraId="52006BC0"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Agir ensemble pour les droits humains (AEDH)</w:t>
      </w:r>
    </w:p>
    <w:p w14:paraId="75327D89" w14:textId="1AB89201" w:rsidR="000053F2" w:rsidRPr="005046F1" w:rsidRDefault="00817BCD" w:rsidP="005046F1">
      <w:pPr>
        <w:pStyle w:val="ListParagraph"/>
        <w:numPr>
          <w:ilvl w:val="0"/>
          <w:numId w:val="1"/>
        </w:numPr>
        <w:spacing w:after="0" w:line="276" w:lineRule="auto"/>
        <w:jc w:val="both"/>
        <w:rPr>
          <w:lang w:val="fr-FR"/>
        </w:rPr>
      </w:pPr>
      <w:proofErr w:type="spellStart"/>
      <w:r w:rsidRPr="005046F1">
        <w:rPr>
          <w:lang w:val="fr-FR"/>
        </w:rPr>
        <w:t>African</w:t>
      </w:r>
      <w:r w:rsidR="000053F2" w:rsidRPr="005046F1">
        <w:rPr>
          <w:lang w:val="fr-FR"/>
        </w:rPr>
        <w:t>Defenders</w:t>
      </w:r>
      <w:proofErr w:type="spellEnd"/>
    </w:p>
    <w:p w14:paraId="2D06FA57"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Amnesty International</w:t>
      </w:r>
    </w:p>
    <w:p w14:paraId="7FBEA1F6"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 xml:space="preserve">Association des Journalistes Burundais en Exil (AJBE) </w:t>
      </w:r>
    </w:p>
    <w:p w14:paraId="4F5849B6" w14:textId="501D66D4" w:rsidR="000053F2" w:rsidRPr="005046F1" w:rsidRDefault="000053F2" w:rsidP="005046F1">
      <w:pPr>
        <w:pStyle w:val="ListParagraph"/>
        <w:numPr>
          <w:ilvl w:val="0"/>
          <w:numId w:val="1"/>
        </w:numPr>
        <w:spacing w:after="0" w:line="276" w:lineRule="auto"/>
        <w:jc w:val="both"/>
        <w:rPr>
          <w:lang w:val="fr-FR"/>
        </w:rPr>
      </w:pPr>
      <w:r w:rsidRPr="005046F1">
        <w:rPr>
          <w:lang w:val="fr-FR"/>
        </w:rPr>
        <w:t>Association pour la Coopération et l'Auto-</w:t>
      </w:r>
      <w:r w:rsidR="003A64A9" w:rsidRPr="005046F1">
        <w:rPr>
          <w:lang w:val="fr-FR"/>
        </w:rPr>
        <w:t>Développement</w:t>
      </w:r>
      <w:r w:rsidRPr="005046F1">
        <w:rPr>
          <w:lang w:val="fr-FR"/>
        </w:rPr>
        <w:t xml:space="preserve"> (ACAD)</w:t>
      </w:r>
    </w:p>
    <w:p w14:paraId="0910A1F6" w14:textId="77777777" w:rsidR="000053F2" w:rsidRPr="000053F2" w:rsidRDefault="000053F2" w:rsidP="005046F1">
      <w:pPr>
        <w:pStyle w:val="ListParagraph"/>
        <w:numPr>
          <w:ilvl w:val="0"/>
          <w:numId w:val="1"/>
        </w:numPr>
        <w:spacing w:after="0" w:line="276" w:lineRule="auto"/>
        <w:jc w:val="both"/>
      </w:pPr>
      <w:r w:rsidRPr="000053F2">
        <w:t>Burundi Human Rights Initiative (BHRI)</w:t>
      </w:r>
    </w:p>
    <w:p w14:paraId="5E2221D9" w14:textId="442A660B" w:rsidR="000053F2" w:rsidRDefault="000053F2" w:rsidP="005046F1">
      <w:pPr>
        <w:pStyle w:val="ListParagraph"/>
        <w:numPr>
          <w:ilvl w:val="0"/>
          <w:numId w:val="1"/>
        </w:numPr>
        <w:spacing w:after="0" w:line="276" w:lineRule="auto"/>
        <w:jc w:val="both"/>
        <w:rPr>
          <w:lang w:val="fr-FR"/>
        </w:rPr>
      </w:pPr>
      <w:r w:rsidRPr="005046F1">
        <w:rPr>
          <w:lang w:val="fr-FR"/>
        </w:rPr>
        <w:t>Coalition burundaise des défenseurs des droits humains (CBDDH)</w:t>
      </w:r>
    </w:p>
    <w:p w14:paraId="29999913" w14:textId="59706EA1" w:rsidR="001672DA" w:rsidRPr="001672DA" w:rsidRDefault="001672DA" w:rsidP="001672DA">
      <w:pPr>
        <w:pStyle w:val="ListParagraph"/>
        <w:numPr>
          <w:ilvl w:val="0"/>
          <w:numId w:val="1"/>
        </w:numPr>
        <w:spacing w:after="0" w:line="276" w:lineRule="auto"/>
        <w:jc w:val="both"/>
        <w:rPr>
          <w:lang w:val="fr-FR"/>
        </w:rPr>
      </w:pPr>
      <w:r w:rsidRPr="00EA4375">
        <w:rPr>
          <w:lang w:val="fr-FR"/>
        </w:rPr>
        <w:t>Coalition Burundaise pour la Cour Pénale Internationale (CB CPI)</w:t>
      </w:r>
      <w:bookmarkStart w:id="4" w:name="_GoBack"/>
      <w:bookmarkEnd w:id="4"/>
    </w:p>
    <w:p w14:paraId="5E79669C"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Collectif des Avocats pour la défense des victimes de crimes de droit international commis au Burundi (CAVIB)</w:t>
      </w:r>
    </w:p>
    <w:p w14:paraId="72625446"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Coalition de la Société Civile pour le Monitoring Electoral (COSOME)</w:t>
      </w:r>
    </w:p>
    <w:p w14:paraId="7E7423A3" w14:textId="62652DA0" w:rsidR="000053F2" w:rsidRPr="005046F1" w:rsidRDefault="00A84B39" w:rsidP="005046F1">
      <w:pPr>
        <w:pStyle w:val="ListParagraph"/>
        <w:numPr>
          <w:ilvl w:val="0"/>
          <w:numId w:val="1"/>
        </w:numPr>
        <w:spacing w:after="0" w:line="276" w:lineRule="auto"/>
        <w:jc w:val="both"/>
        <w:rPr>
          <w:rFonts w:eastAsia="Times New Roman" w:cstheme="minorHAnsi"/>
        </w:rPr>
      </w:pPr>
      <w:proofErr w:type="spellStart"/>
      <w:r>
        <w:t>Defend</w:t>
      </w:r>
      <w:r w:rsidR="000053F2" w:rsidRPr="000053F2">
        <w:t>Defenders</w:t>
      </w:r>
      <w:proofErr w:type="spellEnd"/>
      <w:r>
        <w:t xml:space="preserve"> </w:t>
      </w:r>
      <w:r w:rsidRPr="005046F1">
        <w:rPr>
          <w:rFonts w:eastAsia="Times New Roman" w:cstheme="minorHAnsi"/>
        </w:rPr>
        <w:t>(East and Horn of Africa Human Rights Defenders Project)</w:t>
      </w:r>
    </w:p>
    <w:p w14:paraId="5E943A60" w14:textId="457CFBA6" w:rsidR="00AD443B" w:rsidRPr="005046F1" w:rsidRDefault="00AD443B" w:rsidP="005046F1">
      <w:pPr>
        <w:pStyle w:val="ListParagraph"/>
        <w:numPr>
          <w:ilvl w:val="0"/>
          <w:numId w:val="1"/>
        </w:numPr>
        <w:spacing w:after="0" w:line="276" w:lineRule="auto"/>
        <w:jc w:val="both"/>
        <w:rPr>
          <w:lang w:val="fr-FR"/>
        </w:rPr>
      </w:pPr>
      <w:r w:rsidRPr="005046F1">
        <w:rPr>
          <w:lang w:val="fr-FR"/>
        </w:rPr>
        <w:t>La Fédération internationale pour les droits humains (FIDH) dans le cadre de l'Observatoire pour la Protection des Défenseurs des Droits Humains</w:t>
      </w:r>
    </w:p>
    <w:p w14:paraId="48880DDD" w14:textId="77777777" w:rsidR="000053F2" w:rsidRPr="000053F2" w:rsidRDefault="000053F2" w:rsidP="005046F1">
      <w:pPr>
        <w:pStyle w:val="ListParagraph"/>
        <w:numPr>
          <w:ilvl w:val="0"/>
          <w:numId w:val="1"/>
        </w:numPr>
        <w:spacing w:after="0" w:line="276" w:lineRule="auto"/>
        <w:jc w:val="both"/>
      </w:pPr>
      <w:r w:rsidRPr="000053F2">
        <w:t xml:space="preserve">FIACAT: International Federation of ACAT </w:t>
      </w:r>
    </w:p>
    <w:p w14:paraId="2688B59F" w14:textId="77777777" w:rsidR="000053F2" w:rsidRPr="000053F2" w:rsidRDefault="000053F2" w:rsidP="005046F1">
      <w:pPr>
        <w:pStyle w:val="ListParagraph"/>
        <w:numPr>
          <w:ilvl w:val="0"/>
          <w:numId w:val="1"/>
        </w:numPr>
        <w:spacing w:after="0" w:line="276" w:lineRule="auto"/>
        <w:jc w:val="both"/>
      </w:pPr>
      <w:r w:rsidRPr="000053F2">
        <w:t>ACAT Burundi</w:t>
      </w:r>
    </w:p>
    <w:p w14:paraId="65AC6289"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 xml:space="preserve">ACAT République Centrafricaine / Central </w:t>
      </w:r>
      <w:proofErr w:type="spellStart"/>
      <w:r w:rsidRPr="005046F1">
        <w:rPr>
          <w:lang w:val="fr-FR"/>
        </w:rPr>
        <w:t>African</w:t>
      </w:r>
      <w:proofErr w:type="spellEnd"/>
      <w:r w:rsidRPr="005046F1">
        <w:rPr>
          <w:lang w:val="fr-FR"/>
        </w:rPr>
        <w:t xml:space="preserve"> </w:t>
      </w:r>
      <w:proofErr w:type="spellStart"/>
      <w:r w:rsidRPr="005046F1">
        <w:rPr>
          <w:lang w:val="fr-FR"/>
        </w:rPr>
        <w:t>Republic</w:t>
      </w:r>
      <w:proofErr w:type="spellEnd"/>
    </w:p>
    <w:p w14:paraId="214D1071"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ACAT Congo / Congo</w:t>
      </w:r>
    </w:p>
    <w:p w14:paraId="247C7D65"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ACAT Côte d’Ivoire / Côte d’Ivoire</w:t>
      </w:r>
    </w:p>
    <w:p w14:paraId="56E343F6" w14:textId="77777777" w:rsidR="000053F2" w:rsidRPr="000053F2" w:rsidRDefault="000053F2" w:rsidP="005046F1">
      <w:pPr>
        <w:pStyle w:val="ListParagraph"/>
        <w:numPr>
          <w:ilvl w:val="0"/>
          <w:numId w:val="1"/>
        </w:numPr>
        <w:spacing w:after="0" w:line="276" w:lineRule="auto"/>
        <w:jc w:val="both"/>
      </w:pPr>
      <w:r w:rsidRPr="000053F2">
        <w:t>ACAT Ghana / Ghana</w:t>
      </w:r>
    </w:p>
    <w:p w14:paraId="67B31E04" w14:textId="77777777" w:rsidR="000053F2" w:rsidRPr="000053F2" w:rsidRDefault="000053F2" w:rsidP="005046F1">
      <w:pPr>
        <w:pStyle w:val="ListParagraph"/>
        <w:numPr>
          <w:ilvl w:val="0"/>
          <w:numId w:val="1"/>
        </w:numPr>
        <w:spacing w:after="0" w:line="276" w:lineRule="auto"/>
        <w:jc w:val="both"/>
      </w:pPr>
      <w:r w:rsidRPr="000053F2">
        <w:t xml:space="preserve">ACAT </w:t>
      </w:r>
      <w:proofErr w:type="spellStart"/>
      <w:r w:rsidRPr="000053F2">
        <w:t>Tchad</w:t>
      </w:r>
      <w:proofErr w:type="spellEnd"/>
      <w:r w:rsidRPr="000053F2">
        <w:t xml:space="preserve"> / Chad</w:t>
      </w:r>
    </w:p>
    <w:p w14:paraId="5D935DA3"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ACAT Canada / Canada</w:t>
      </w:r>
    </w:p>
    <w:p w14:paraId="797C1C6A"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ACAT Allemagne / Germany</w:t>
      </w:r>
    </w:p>
    <w:p w14:paraId="295B056C"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 xml:space="preserve">ACAT Belgique/ </w:t>
      </w:r>
      <w:proofErr w:type="spellStart"/>
      <w:r w:rsidRPr="005046F1">
        <w:rPr>
          <w:lang w:val="fr-FR"/>
        </w:rPr>
        <w:t>Belgium</w:t>
      </w:r>
      <w:proofErr w:type="spellEnd"/>
    </w:p>
    <w:p w14:paraId="23EBBDE7"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ACAT France / France</w:t>
      </w:r>
    </w:p>
    <w:p w14:paraId="25E10D34"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 xml:space="preserve">ACAT Italie / </w:t>
      </w:r>
      <w:proofErr w:type="spellStart"/>
      <w:r w:rsidRPr="005046F1">
        <w:rPr>
          <w:lang w:val="fr-FR"/>
        </w:rPr>
        <w:t>Italy</w:t>
      </w:r>
      <w:proofErr w:type="spellEnd"/>
    </w:p>
    <w:p w14:paraId="45C445E7"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ACAT Luxembourg / Luxembourg</w:t>
      </w:r>
    </w:p>
    <w:p w14:paraId="15BA89BC"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lastRenderedPageBreak/>
        <w:t>ACAT Mali</w:t>
      </w:r>
    </w:p>
    <w:p w14:paraId="3042AA78"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ACAT Royaume Uni / UK</w:t>
      </w:r>
    </w:p>
    <w:p w14:paraId="089287C7"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 xml:space="preserve">ACAT Suisse / </w:t>
      </w:r>
      <w:proofErr w:type="spellStart"/>
      <w:r w:rsidRPr="005046F1">
        <w:rPr>
          <w:lang w:val="fr-FR"/>
        </w:rPr>
        <w:t>Switzerland</w:t>
      </w:r>
      <w:proofErr w:type="spellEnd"/>
      <w:r w:rsidRPr="005046F1">
        <w:rPr>
          <w:lang w:val="fr-FR"/>
        </w:rPr>
        <w:t xml:space="preserve"> </w:t>
      </w:r>
    </w:p>
    <w:p w14:paraId="786F8A06"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Forum pour le renforcement de la société civile (FORSC)</w:t>
      </w:r>
    </w:p>
    <w:p w14:paraId="6A0EF2E0" w14:textId="77777777" w:rsidR="000053F2" w:rsidRPr="000053F2" w:rsidRDefault="000053F2" w:rsidP="005046F1">
      <w:pPr>
        <w:pStyle w:val="ListParagraph"/>
        <w:numPr>
          <w:ilvl w:val="0"/>
          <w:numId w:val="1"/>
        </w:numPr>
        <w:spacing w:after="0" w:line="276" w:lineRule="auto"/>
        <w:jc w:val="both"/>
      </w:pPr>
      <w:r w:rsidRPr="000053F2">
        <w:t>Front Line Defenders</w:t>
      </w:r>
    </w:p>
    <w:p w14:paraId="3EFFC533" w14:textId="77777777" w:rsidR="000053F2" w:rsidRPr="005046F1" w:rsidRDefault="000053F2" w:rsidP="005046F1">
      <w:pPr>
        <w:pStyle w:val="ListParagraph"/>
        <w:numPr>
          <w:ilvl w:val="0"/>
          <w:numId w:val="1"/>
        </w:numPr>
        <w:spacing w:after="0" w:line="276" w:lineRule="auto"/>
        <w:jc w:val="both"/>
        <w:rPr>
          <w:lang w:val="fr-FR"/>
        </w:rPr>
      </w:pPr>
      <w:proofErr w:type="spellStart"/>
      <w:r w:rsidRPr="005046F1">
        <w:rPr>
          <w:lang w:val="fr-FR"/>
        </w:rPr>
        <w:t>Kadervorming</w:t>
      </w:r>
      <w:proofErr w:type="spellEnd"/>
      <w:r w:rsidRPr="005046F1">
        <w:rPr>
          <w:lang w:val="fr-FR"/>
        </w:rPr>
        <w:t xml:space="preserve"> </w:t>
      </w:r>
      <w:proofErr w:type="spellStart"/>
      <w:r w:rsidRPr="005046F1">
        <w:rPr>
          <w:lang w:val="fr-FR"/>
        </w:rPr>
        <w:t>voor</w:t>
      </w:r>
      <w:proofErr w:type="spellEnd"/>
      <w:r w:rsidRPr="005046F1">
        <w:rPr>
          <w:lang w:val="fr-FR"/>
        </w:rPr>
        <w:t xml:space="preserve"> </w:t>
      </w:r>
      <w:proofErr w:type="spellStart"/>
      <w:r w:rsidRPr="005046F1">
        <w:rPr>
          <w:lang w:val="fr-FR"/>
        </w:rPr>
        <w:t>Afrikanen</w:t>
      </w:r>
      <w:proofErr w:type="spellEnd"/>
      <w:r w:rsidRPr="005046F1">
        <w:rPr>
          <w:lang w:val="fr-FR"/>
        </w:rPr>
        <w:t xml:space="preserve"> / Formation de Cadres Africains (KBA/FONCABA) </w:t>
      </w:r>
    </w:p>
    <w:p w14:paraId="1497AA65" w14:textId="6A61447D" w:rsidR="000053F2" w:rsidRPr="005046F1" w:rsidRDefault="000053F2" w:rsidP="005046F1">
      <w:pPr>
        <w:pStyle w:val="ListParagraph"/>
        <w:numPr>
          <w:ilvl w:val="0"/>
          <w:numId w:val="1"/>
        </w:numPr>
        <w:spacing w:after="0" w:line="276" w:lineRule="auto"/>
        <w:jc w:val="both"/>
        <w:rPr>
          <w:rStyle w:val="hgkelc"/>
          <w:b/>
          <w:bCs/>
          <w:lang w:val="fr-FR"/>
        </w:rPr>
      </w:pPr>
      <w:r w:rsidRPr="005046F1">
        <w:rPr>
          <w:rStyle w:val="hgkelc"/>
          <w:lang w:val="fr-FR"/>
        </w:rPr>
        <w:t xml:space="preserve">La Ligue </w:t>
      </w:r>
      <w:r w:rsidRPr="005046F1">
        <w:rPr>
          <w:rStyle w:val="hgkelc"/>
          <w:bCs/>
          <w:lang w:val="fr-FR"/>
        </w:rPr>
        <w:t>Burundaise des Droits de l'Homme ITEKA</w:t>
      </w:r>
    </w:p>
    <w:p w14:paraId="41E821CE"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Mouvement INAMAHORO, femmes &amp; filles pour la paix &amp; la sécurité</w:t>
      </w:r>
    </w:p>
    <w:p w14:paraId="0165AD96"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Observatoire de la lutte contre la corruption et les malversations économiques (OLUCOME)</w:t>
      </w:r>
    </w:p>
    <w:p w14:paraId="2C7582F4" w14:textId="65B4C136" w:rsidR="00F624B0" w:rsidRPr="005046F1" w:rsidRDefault="00F624B0" w:rsidP="005046F1">
      <w:pPr>
        <w:pStyle w:val="ListParagraph"/>
        <w:numPr>
          <w:ilvl w:val="0"/>
          <w:numId w:val="1"/>
        </w:numPr>
        <w:spacing w:after="0" w:line="276" w:lineRule="auto"/>
        <w:jc w:val="both"/>
        <w:rPr>
          <w:lang w:val="fr-FR"/>
        </w:rPr>
      </w:pPr>
      <w:r w:rsidRPr="005046F1">
        <w:rPr>
          <w:lang w:val="fr-FR"/>
        </w:rPr>
        <w:t xml:space="preserve">Organisation mondiale contre la torture (OMCT), </w:t>
      </w:r>
      <w:r w:rsidR="00AD443B" w:rsidRPr="005046F1">
        <w:rPr>
          <w:lang w:val="fr-FR"/>
        </w:rPr>
        <w:t>dans le cadre de l'Observatoire pour la Protection des Défenseurs des Droits Humains</w:t>
      </w:r>
    </w:p>
    <w:p w14:paraId="34C10D7D"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Protection International</w:t>
      </w:r>
    </w:p>
    <w:p w14:paraId="6D2F3E83"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Réseau des Citoyens Probes (RCP)</w:t>
      </w:r>
    </w:p>
    <w:p w14:paraId="0D6E4B60" w14:textId="77777777" w:rsidR="00582AB4" w:rsidRPr="005046F1" w:rsidRDefault="00582AB4" w:rsidP="005046F1">
      <w:pPr>
        <w:pStyle w:val="ListParagraph"/>
        <w:numPr>
          <w:ilvl w:val="0"/>
          <w:numId w:val="1"/>
        </w:numPr>
        <w:spacing w:after="0" w:line="276" w:lineRule="auto"/>
        <w:jc w:val="both"/>
        <w:rPr>
          <w:lang w:val="fr-FR"/>
        </w:rPr>
      </w:pPr>
      <w:r w:rsidRPr="005046F1">
        <w:rPr>
          <w:lang w:val="fr-FR"/>
        </w:rPr>
        <w:t>Le Réseau européen pour l'Afrique centrale (</w:t>
      </w:r>
      <w:proofErr w:type="spellStart"/>
      <w:r w:rsidRPr="005046F1">
        <w:rPr>
          <w:lang w:val="fr-FR"/>
        </w:rPr>
        <w:t>EurAc</w:t>
      </w:r>
      <w:proofErr w:type="spellEnd"/>
      <w:r w:rsidRPr="005046F1">
        <w:rPr>
          <w:lang w:val="fr-FR"/>
        </w:rPr>
        <w:t>)</w:t>
      </w:r>
    </w:p>
    <w:p w14:paraId="487E2595" w14:textId="1F33486D" w:rsidR="000053F2" w:rsidRPr="000053F2" w:rsidRDefault="000053F2" w:rsidP="005046F1">
      <w:pPr>
        <w:pStyle w:val="ListParagraph"/>
        <w:numPr>
          <w:ilvl w:val="0"/>
          <w:numId w:val="1"/>
        </w:numPr>
        <w:spacing w:after="0" w:line="276" w:lineRule="auto"/>
        <w:jc w:val="both"/>
      </w:pPr>
      <w:proofErr w:type="spellStart"/>
      <w:r w:rsidRPr="000053F2">
        <w:t>Sapi</w:t>
      </w:r>
      <w:proofErr w:type="spellEnd"/>
      <w:r w:rsidRPr="000053F2">
        <w:t xml:space="preserve"> Lausanne</w:t>
      </w:r>
    </w:p>
    <w:p w14:paraId="680A47F9" w14:textId="68C15829" w:rsidR="000053F2" w:rsidRPr="005046F1" w:rsidRDefault="000053F2" w:rsidP="005046F1">
      <w:pPr>
        <w:pStyle w:val="ListParagraph"/>
        <w:numPr>
          <w:ilvl w:val="0"/>
          <w:numId w:val="1"/>
        </w:numPr>
        <w:spacing w:after="0" w:line="276" w:lineRule="auto"/>
        <w:jc w:val="both"/>
        <w:rPr>
          <w:lang w:val="fr-FR"/>
        </w:rPr>
      </w:pPr>
      <w:r w:rsidRPr="005046F1">
        <w:rPr>
          <w:lang w:val="fr-FR"/>
        </w:rPr>
        <w:t>Service International pour les Droits de l'Homme (ISHR)</w:t>
      </w:r>
    </w:p>
    <w:p w14:paraId="2A749C46" w14:textId="3484DC75" w:rsidR="000053F2" w:rsidRPr="00F624B0" w:rsidRDefault="000053F2" w:rsidP="005046F1">
      <w:pPr>
        <w:pStyle w:val="ListParagraph"/>
        <w:numPr>
          <w:ilvl w:val="0"/>
          <w:numId w:val="1"/>
        </w:numPr>
        <w:spacing w:after="0" w:line="276" w:lineRule="auto"/>
        <w:jc w:val="both"/>
      </w:pPr>
      <w:r w:rsidRPr="00F624B0">
        <w:t>SOS-Torture/Burundi</w:t>
      </w:r>
    </w:p>
    <w:p w14:paraId="35E39188" w14:textId="77777777" w:rsidR="000053F2" w:rsidRPr="005046F1" w:rsidRDefault="000053F2" w:rsidP="005046F1">
      <w:pPr>
        <w:pStyle w:val="ListParagraph"/>
        <w:numPr>
          <w:ilvl w:val="0"/>
          <w:numId w:val="1"/>
        </w:numPr>
        <w:spacing w:after="0" w:line="276" w:lineRule="auto"/>
        <w:jc w:val="both"/>
        <w:rPr>
          <w:lang w:val="fr-FR"/>
        </w:rPr>
      </w:pPr>
      <w:r w:rsidRPr="005046F1">
        <w:rPr>
          <w:lang w:val="fr-FR"/>
        </w:rPr>
        <w:t xml:space="preserve">Tournons La Page </w:t>
      </w:r>
    </w:p>
    <w:p w14:paraId="2BD82838" w14:textId="77A99895" w:rsidR="00A600F2" w:rsidRPr="005046F1" w:rsidRDefault="000053F2" w:rsidP="005046F1">
      <w:pPr>
        <w:pStyle w:val="ListParagraph"/>
        <w:numPr>
          <w:ilvl w:val="0"/>
          <w:numId w:val="1"/>
        </w:numPr>
        <w:spacing w:after="0" w:line="276" w:lineRule="auto"/>
        <w:jc w:val="both"/>
        <w:rPr>
          <w:lang w:val="fr-FR"/>
        </w:rPr>
      </w:pPr>
      <w:r w:rsidRPr="005046F1">
        <w:rPr>
          <w:lang w:val="fr-FR"/>
        </w:rPr>
        <w:t>Union Burundaise des journalist</w:t>
      </w:r>
      <w:r w:rsidR="00817BCD" w:rsidRPr="005046F1">
        <w:rPr>
          <w:lang w:val="fr-FR"/>
        </w:rPr>
        <w:t>e</w:t>
      </w:r>
      <w:r w:rsidRPr="005046F1">
        <w:rPr>
          <w:lang w:val="fr-FR"/>
        </w:rPr>
        <w:t>s (UBJ)</w:t>
      </w:r>
    </w:p>
    <w:sectPr w:rsidR="00A600F2" w:rsidRPr="005046F1">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47CD9" w14:textId="77777777" w:rsidR="00783FE0" w:rsidRDefault="00783FE0" w:rsidP="00817F84">
      <w:pPr>
        <w:spacing w:after="0" w:line="240" w:lineRule="auto"/>
      </w:pPr>
      <w:r>
        <w:separator/>
      </w:r>
    </w:p>
  </w:endnote>
  <w:endnote w:type="continuationSeparator" w:id="0">
    <w:p w14:paraId="13AD0129" w14:textId="77777777" w:rsidR="00783FE0" w:rsidRDefault="00783FE0" w:rsidP="0081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1"/>
    <w:family w:val="swiss"/>
    <w:pitch w:val="variable"/>
    <w:sig w:usb0="E10002FF" w:usb1="5000ECFF" w:usb2="00000009" w:usb3="00000000" w:csb0="0000019F" w:csb1="00000000"/>
  </w:font>
  <w:font w:name="Noto Sans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C7F8D" w14:textId="77777777" w:rsidR="00783FE0" w:rsidRDefault="00783FE0" w:rsidP="00817F84">
      <w:pPr>
        <w:spacing w:after="0" w:line="240" w:lineRule="auto"/>
      </w:pPr>
      <w:r>
        <w:separator/>
      </w:r>
    </w:p>
  </w:footnote>
  <w:footnote w:type="continuationSeparator" w:id="0">
    <w:p w14:paraId="0C2440B9" w14:textId="77777777" w:rsidR="00783FE0" w:rsidRDefault="00783FE0" w:rsidP="00817F84">
      <w:pPr>
        <w:spacing w:after="0" w:line="240" w:lineRule="auto"/>
      </w:pPr>
      <w:r>
        <w:continuationSeparator/>
      </w:r>
    </w:p>
  </w:footnote>
  <w:footnote w:id="1">
    <w:p w14:paraId="51202908" w14:textId="4B1E179B" w:rsidR="00817F84" w:rsidRDefault="00817F84" w:rsidP="00817F84">
      <w:pPr>
        <w:pStyle w:val="FootnoteText"/>
      </w:pPr>
      <w:r>
        <w:rPr>
          <w:rStyle w:val="FootnoteReference"/>
        </w:rPr>
        <w:footnoteRef/>
      </w:r>
      <w:r w:rsidRPr="00001D4B">
        <w:rPr>
          <w:rStyle w:val="Hyperlink"/>
          <w:lang w:val="fr-FR"/>
        </w:rPr>
        <w:t xml:space="preserve"> </w:t>
      </w:r>
      <w:r w:rsidR="00001D4B">
        <w:rPr>
          <w:lang w:val="fr-FR"/>
        </w:rPr>
        <w:t>Rapports de communication des P</w:t>
      </w:r>
      <w:r w:rsidRPr="00001D4B">
        <w:rPr>
          <w:lang w:val="fr-FR"/>
        </w:rPr>
        <w:t>rocédures spéciales, 29 septembre 2020,</w:t>
      </w:r>
      <w:r w:rsidR="00001D4B">
        <w:rPr>
          <w:lang w:val="fr-FR"/>
        </w:rPr>
        <w:t xml:space="preserve"> </w:t>
      </w:r>
      <w:r w:rsidRPr="00001D4B">
        <w:rPr>
          <w:lang w:val="fr-FR"/>
        </w:rPr>
        <w:t>Burundi,</w:t>
      </w:r>
      <w:r w:rsidR="00001D4B">
        <w:rPr>
          <w:lang w:val="fr-FR"/>
        </w:rPr>
        <w:t xml:space="preserve"> </w:t>
      </w:r>
      <w:r w:rsidRPr="00001D4B">
        <w:rPr>
          <w:lang w:val="fr-FR"/>
        </w:rPr>
        <w:t>JAL,</w:t>
      </w:r>
      <w:r w:rsidR="00001D4B">
        <w:rPr>
          <w:lang w:val="fr-FR"/>
        </w:rPr>
        <w:t xml:space="preserve"> </w:t>
      </w:r>
      <w:r w:rsidRPr="00001D4B">
        <w:rPr>
          <w:lang w:val="fr-FR"/>
        </w:rPr>
        <w:t>BDI 2/2020.</w:t>
      </w:r>
      <w:r w:rsidR="00001D4B">
        <w:rPr>
          <w:lang w:val="fr-FR"/>
        </w:rPr>
        <w:t xml:space="preserve"> </w:t>
      </w:r>
      <w:hyperlink r:id="rId1" w:history="1">
        <w:r w:rsidRPr="00774DD9">
          <w:rPr>
            <w:rStyle w:val="Hyperlink"/>
          </w:rPr>
          <w:t xml:space="preserve">https://spcommreports.ohchr.org/TMResultsBase/DownLoadPublicCommunicationFile?gId=25577 </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66BD4"/>
    <w:multiLevelType w:val="hybridMultilevel"/>
    <w:tmpl w:val="85B02778"/>
    <w:lvl w:ilvl="0" w:tplc="7C183A9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0F2"/>
    <w:rsid w:val="00001D4B"/>
    <w:rsid w:val="000053F2"/>
    <w:rsid w:val="00030EFD"/>
    <w:rsid w:val="00035AB1"/>
    <w:rsid w:val="000A2069"/>
    <w:rsid w:val="0011202F"/>
    <w:rsid w:val="0011558A"/>
    <w:rsid w:val="001205DE"/>
    <w:rsid w:val="00123E48"/>
    <w:rsid w:val="001672DA"/>
    <w:rsid w:val="001F410F"/>
    <w:rsid w:val="002005EC"/>
    <w:rsid w:val="003A64A9"/>
    <w:rsid w:val="005046F1"/>
    <w:rsid w:val="00523022"/>
    <w:rsid w:val="00525FD1"/>
    <w:rsid w:val="00582AB4"/>
    <w:rsid w:val="0063586A"/>
    <w:rsid w:val="006D140C"/>
    <w:rsid w:val="00740C30"/>
    <w:rsid w:val="00783FE0"/>
    <w:rsid w:val="00795B35"/>
    <w:rsid w:val="00817BCD"/>
    <w:rsid w:val="00817F84"/>
    <w:rsid w:val="0086053C"/>
    <w:rsid w:val="009566FD"/>
    <w:rsid w:val="009800E9"/>
    <w:rsid w:val="00A43283"/>
    <w:rsid w:val="00A600F2"/>
    <w:rsid w:val="00A84B39"/>
    <w:rsid w:val="00AD443B"/>
    <w:rsid w:val="00BE179E"/>
    <w:rsid w:val="00CC6218"/>
    <w:rsid w:val="00D13FB7"/>
    <w:rsid w:val="00E03DB5"/>
    <w:rsid w:val="00EA3B09"/>
    <w:rsid w:val="00EF5063"/>
    <w:rsid w:val="00F617CB"/>
    <w:rsid w:val="00F624B0"/>
    <w:rsid w:val="00FD03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86A8"/>
  <w15:docId w15:val="{D2550F42-B31B-444A-B3FF-7F04AD0E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0B2"/>
    <w:rPr>
      <w:color w:val="0563C1" w:themeColor="hyperlink"/>
      <w:u w:val="single"/>
    </w:rPr>
  </w:style>
  <w:style w:type="character" w:customStyle="1" w:styleId="BalloonTextChar">
    <w:name w:val="Balloon Text Char"/>
    <w:basedOn w:val="DefaultParagraphFont"/>
    <w:link w:val="BalloonText"/>
    <w:uiPriority w:val="99"/>
    <w:semiHidden/>
    <w:qFormat/>
    <w:rsid w:val="002F2FF0"/>
    <w:rPr>
      <w:rFonts w:ascii="Segoe UI" w:hAnsi="Segoe UI" w:cs="Segoe UI"/>
      <w:sz w:val="18"/>
      <w:szCs w:val="18"/>
    </w:rPr>
  </w:style>
  <w:style w:type="character" w:styleId="CommentReference">
    <w:name w:val="annotation reference"/>
    <w:basedOn w:val="DefaultParagraphFont"/>
    <w:uiPriority w:val="99"/>
    <w:semiHidden/>
    <w:unhideWhenUsed/>
    <w:qFormat/>
    <w:rsid w:val="002F2FF0"/>
    <w:rPr>
      <w:sz w:val="16"/>
      <w:szCs w:val="16"/>
    </w:rPr>
  </w:style>
  <w:style w:type="character" w:customStyle="1" w:styleId="CommentTextChar">
    <w:name w:val="Comment Text Char"/>
    <w:basedOn w:val="DefaultParagraphFont"/>
    <w:link w:val="CommentText"/>
    <w:uiPriority w:val="99"/>
    <w:semiHidden/>
    <w:qFormat/>
    <w:rsid w:val="002F2FF0"/>
    <w:rPr>
      <w:sz w:val="20"/>
      <w:szCs w:val="20"/>
    </w:rPr>
  </w:style>
  <w:style w:type="character" w:customStyle="1" w:styleId="CommentSubjectChar">
    <w:name w:val="Comment Subject Char"/>
    <w:basedOn w:val="CommentTextChar"/>
    <w:link w:val="CommentSubject"/>
    <w:uiPriority w:val="99"/>
    <w:semiHidden/>
    <w:qFormat/>
    <w:rsid w:val="002F2FF0"/>
    <w:rPr>
      <w:b/>
      <w:bCs/>
      <w:sz w:val="20"/>
      <w:szCs w:val="20"/>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2F2FF0"/>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2F2FF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F2FF0"/>
    <w:rPr>
      <w:b/>
      <w:bCs/>
    </w:rPr>
  </w:style>
  <w:style w:type="paragraph" w:customStyle="1" w:styleId="TableNormal1">
    <w:name w:val="Table Normal1"/>
    <w:qFormat/>
    <w:pPr>
      <w:spacing w:after="160" w:line="256" w:lineRule="auto"/>
    </w:pPr>
    <w:rPr>
      <w:rFonts w:eastAsia="Times New Roman" w:cs="Times New Roman"/>
      <w:sz w:val="22"/>
      <w:lang w:val="fr-BE"/>
    </w:rPr>
  </w:style>
  <w:style w:type="paragraph" w:styleId="FootnoteText">
    <w:name w:val="footnote text"/>
    <w:basedOn w:val="Normal"/>
    <w:link w:val="FootnoteTextChar"/>
    <w:uiPriority w:val="99"/>
    <w:semiHidden/>
    <w:unhideWhenUsed/>
    <w:rsid w:val="00817F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7F84"/>
    <w:rPr>
      <w:szCs w:val="20"/>
    </w:rPr>
  </w:style>
  <w:style w:type="character" w:styleId="FootnoteReference">
    <w:name w:val="footnote reference"/>
    <w:basedOn w:val="DefaultParagraphFont"/>
    <w:uiPriority w:val="99"/>
    <w:semiHidden/>
    <w:unhideWhenUsed/>
    <w:rsid w:val="00817F84"/>
    <w:rPr>
      <w:vertAlign w:val="superscript"/>
    </w:rPr>
  </w:style>
  <w:style w:type="character" w:customStyle="1" w:styleId="hgkelc">
    <w:name w:val="hgkelc"/>
    <w:basedOn w:val="DefaultParagraphFont"/>
    <w:rsid w:val="000053F2"/>
  </w:style>
  <w:style w:type="paragraph" w:styleId="ListParagraph">
    <w:name w:val="List Paragraph"/>
    <w:basedOn w:val="Normal"/>
    <w:uiPriority w:val="34"/>
    <w:qFormat/>
    <w:rsid w:val="00504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012848">
      <w:bodyDiv w:val="1"/>
      <w:marLeft w:val="0"/>
      <w:marRight w:val="0"/>
      <w:marTop w:val="0"/>
      <w:marBottom w:val="0"/>
      <w:divBdr>
        <w:top w:val="none" w:sz="0" w:space="0" w:color="auto"/>
        <w:left w:val="none" w:sz="0" w:space="0" w:color="auto"/>
        <w:bottom w:val="none" w:sz="0" w:space="0" w:color="auto"/>
        <w:right w:val="none" w:sz="0" w:space="0" w:color="auto"/>
      </w:divBdr>
    </w:div>
    <w:div w:id="2051958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commreports.ohchr.org/TMResultsBase/DownLoadPublicCommunicationFile?gId=2557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pcommreports.ohchr.org/TMResultsBase/DownLoadPublicCommunicationFile?gId=25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71916-1DE5-4664-9CD1-A2130C1C4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Humphreys</dc:creator>
  <dc:description/>
  <cp:lastModifiedBy>Emily Humphreys</cp:lastModifiedBy>
  <cp:revision>16</cp:revision>
  <dcterms:created xsi:type="dcterms:W3CDTF">2021-05-20T13:26:00Z</dcterms:created>
  <dcterms:modified xsi:type="dcterms:W3CDTF">2021-05-21T11:01:00Z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