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62B12" w14:textId="00CE0591" w:rsidR="00A600F2" w:rsidRDefault="009800E9">
      <w:pPr>
        <w:jc w:val="both"/>
        <w:rPr>
          <w:b/>
          <w:bCs/>
        </w:rPr>
      </w:pPr>
      <w:r>
        <w:rPr>
          <w:b/>
        </w:rPr>
        <w:t>Burundi:</w:t>
      </w:r>
      <w:r>
        <w:t xml:space="preserve"> </w:t>
      </w:r>
      <w:r>
        <w:rPr>
          <w:b/>
        </w:rPr>
        <w:t xml:space="preserve">Once again, human rights defender Germain </w:t>
      </w:r>
      <w:proofErr w:type="spellStart"/>
      <w:r>
        <w:rPr>
          <w:b/>
        </w:rPr>
        <w:t>Rukuki’s</w:t>
      </w:r>
      <w:proofErr w:type="spellEnd"/>
      <w:r>
        <w:rPr>
          <w:b/>
        </w:rPr>
        <w:t xml:space="preserve"> right to a fair </w:t>
      </w:r>
      <w:r w:rsidRPr="009A4DCB">
        <w:rPr>
          <w:b/>
          <w:bCs/>
        </w:rPr>
        <w:t xml:space="preserve">trial </w:t>
      </w:r>
      <w:proofErr w:type="gramStart"/>
      <w:r>
        <w:rPr>
          <w:b/>
          <w:bCs/>
        </w:rPr>
        <w:t>is violated</w:t>
      </w:r>
      <w:proofErr w:type="gramEnd"/>
    </w:p>
    <w:p w14:paraId="61CEC5E5" w14:textId="3762522F" w:rsidR="00030EFD" w:rsidRDefault="00030EFD" w:rsidP="009A4DCB">
      <w:pPr>
        <w:jc w:val="center"/>
      </w:pPr>
      <w:r w:rsidRPr="00030EFD">
        <w:t>Appeal to the Authorities of Burundi</w:t>
      </w:r>
    </w:p>
    <w:p w14:paraId="644F2DC6" w14:textId="1F269BAA" w:rsidR="00A600F2" w:rsidRPr="008536CD" w:rsidRDefault="009800E9">
      <w:pPr>
        <w:spacing w:line="276" w:lineRule="auto"/>
        <w:jc w:val="right"/>
        <w:rPr>
          <w:b/>
        </w:rPr>
      </w:pPr>
      <w:r w:rsidRPr="008536CD">
        <w:rPr>
          <w:b/>
        </w:rPr>
        <w:t>21/05/2021</w:t>
      </w:r>
    </w:p>
    <w:p w14:paraId="4C9BF5C5" w14:textId="0CE97698" w:rsidR="00A600F2" w:rsidRDefault="009800E9">
      <w:pPr>
        <w:spacing w:line="276" w:lineRule="auto"/>
        <w:jc w:val="both"/>
      </w:pPr>
      <w:r>
        <w:t xml:space="preserve">We, the undersigned </w:t>
      </w:r>
      <w:r>
        <w:rPr>
          <w:lang w:val="en-IE"/>
        </w:rPr>
        <w:t>organisations</w:t>
      </w:r>
      <w:r>
        <w:t xml:space="preserve">, express our dismay that the Burundian Appeals Court of </w:t>
      </w:r>
      <w:proofErr w:type="spellStart"/>
      <w:r>
        <w:t>Ntahangwa</w:t>
      </w:r>
      <w:proofErr w:type="spellEnd"/>
      <w:r>
        <w:t xml:space="preserve"> has not yet</w:t>
      </w:r>
      <w:r w:rsidR="00523022">
        <w:t xml:space="preserve"> </w:t>
      </w:r>
      <w:r>
        <w:t>announced a verdict in the case of human rights defender Mr. Germain Rukuki. According to legal statutes, this verdict was due within 30 days of the appeal hearing, by 24 April</w:t>
      </w:r>
      <w:r w:rsidR="009A4DCB">
        <w:t xml:space="preserve"> 2021.</w:t>
      </w:r>
      <w:r>
        <w:t xml:space="preserve"> </w:t>
      </w:r>
      <w:r w:rsidR="009A4DCB">
        <w:t>This undue delay adds</w:t>
      </w:r>
      <w:r>
        <w:t xml:space="preserve"> to the litany of irregularities that have </w:t>
      </w:r>
      <w:proofErr w:type="spellStart"/>
      <w:r>
        <w:t>characterised</w:t>
      </w:r>
      <w:proofErr w:type="spellEnd"/>
      <w:r>
        <w:t xml:space="preserve"> the legal proceedings in this case since the arrest of Mr. Rukuki in 2017,</w:t>
      </w:r>
      <w:r w:rsidR="009A4DCB">
        <w:t xml:space="preserve"> and </w:t>
      </w:r>
      <w:r>
        <w:t xml:space="preserve">further compounds the violation of Mr. </w:t>
      </w:r>
      <w:proofErr w:type="spellStart"/>
      <w:r>
        <w:t>Rukuki’s</w:t>
      </w:r>
      <w:proofErr w:type="spellEnd"/>
      <w:r>
        <w:t xml:space="preserve"> right to a fair trial and due process.</w:t>
      </w:r>
    </w:p>
    <w:p w14:paraId="1630758A" w14:textId="340E54DE" w:rsidR="00A600F2" w:rsidRDefault="00123E48">
      <w:pPr>
        <w:spacing w:line="276" w:lineRule="auto"/>
        <w:jc w:val="both"/>
      </w:pPr>
      <w:r>
        <w:t>On 30</w:t>
      </w:r>
      <w:r w:rsidR="009800E9">
        <w:t xml:space="preserve"> Ju</w:t>
      </w:r>
      <w:r>
        <w:t xml:space="preserve">ne </w:t>
      </w:r>
      <w:r w:rsidR="009800E9">
        <w:t xml:space="preserve">2020, the Supreme Court of Burundi set aside the ruling by the Appeals Court to </w:t>
      </w:r>
      <w:proofErr w:type="gramStart"/>
      <w:r w:rsidR="009800E9">
        <w:t>uphold  the</w:t>
      </w:r>
      <w:proofErr w:type="gramEnd"/>
      <w:r w:rsidR="009800E9">
        <w:t xml:space="preserve"> 32-year sentence in Mr. </w:t>
      </w:r>
      <w:proofErr w:type="spellStart"/>
      <w:r w:rsidR="009800E9">
        <w:t>Rukuki’s</w:t>
      </w:r>
      <w:proofErr w:type="spellEnd"/>
      <w:r w:rsidR="009800E9">
        <w:t xml:space="preserve"> case and ordered a second appeal hearing, citing violations to his right to a fair trial. This second appeal hearing took place 8 months later on 24 March 2021 in Ngozi prison, where Mr. Rukuki </w:t>
      </w:r>
      <w:proofErr w:type="gramStart"/>
      <w:r w:rsidR="009800E9">
        <w:t>is currently detained</w:t>
      </w:r>
      <w:proofErr w:type="gramEnd"/>
      <w:r w:rsidR="009800E9">
        <w:t xml:space="preserve">. According to the Burundian Code of Criminal Procedure, following the </w:t>
      </w:r>
      <w:proofErr w:type="gramStart"/>
      <w:r w:rsidR="009800E9">
        <w:t>hearing</w:t>
      </w:r>
      <w:proofErr w:type="gramEnd"/>
      <w:r w:rsidR="009800E9">
        <w:t xml:space="preserve"> the Court has 30 days to return a verdict on the case, but this </w:t>
      </w:r>
      <w:r w:rsidR="00CC6218">
        <w:t>verdict</w:t>
      </w:r>
      <w:r w:rsidR="009800E9">
        <w:t xml:space="preserve"> is still pending nearly 60 days later. This delay clearly demonstrates a lack of due process in the case of the internationally </w:t>
      </w:r>
      <w:proofErr w:type="spellStart"/>
      <w:r w:rsidR="009800E9">
        <w:t>recognised</w:t>
      </w:r>
      <w:proofErr w:type="spellEnd"/>
      <w:r w:rsidR="009800E9">
        <w:t xml:space="preserve"> human rights defender and political prisoner. </w:t>
      </w:r>
    </w:p>
    <w:p w14:paraId="5C19E2FB" w14:textId="7102CC20" w:rsidR="00A600F2" w:rsidRDefault="009800E9">
      <w:pPr>
        <w:spacing w:line="276" w:lineRule="auto"/>
        <w:jc w:val="both"/>
      </w:pPr>
      <w:r>
        <w:t>Germain Rukuki is a Burundian human rights defender and father of three. At the time of his arrest Rukuki was working for AJCB (Association of Catholic Jurists of Burundi)</w:t>
      </w:r>
      <w:r w:rsidR="00123E48">
        <w:t>,</w:t>
      </w:r>
      <w:r>
        <w:t xml:space="preserve"> having previously worked for ACAT-Burundi (Action by Christians for the Abolition of Torture). ACAT-Burundi was suspended by the government in November 2015, as part of a major clampdown on civil society </w:t>
      </w:r>
      <w:proofErr w:type="spellStart"/>
      <w:r>
        <w:t>organisations</w:t>
      </w:r>
      <w:proofErr w:type="spellEnd"/>
      <w:r>
        <w:t>, including four other human rights groups that also opposed then President Nkurunziza’s bid for a third term. Mr. Rukuki was also a co</w:t>
      </w:r>
      <w:r>
        <w:rPr>
          <w:lang w:val="en-GB"/>
        </w:rPr>
        <w:t xml:space="preserve">-founder of </w:t>
      </w:r>
      <w:proofErr w:type="spellStart"/>
      <w:r>
        <w:rPr>
          <w:lang w:val="en-GB"/>
        </w:rPr>
        <w:t>Njabutsa</w:t>
      </w:r>
      <w:proofErr w:type="spellEnd"/>
      <w:r>
        <w:rPr>
          <w:lang w:val="en-GB"/>
        </w:rPr>
        <w:t xml:space="preserve"> </w:t>
      </w:r>
      <w:proofErr w:type="spellStart"/>
      <w:r>
        <w:rPr>
          <w:lang w:val="en-GB"/>
        </w:rPr>
        <w:t>Tujane</w:t>
      </w:r>
      <w:proofErr w:type="spellEnd"/>
      <w:r>
        <w:rPr>
          <w:lang w:val="en-GB"/>
        </w:rPr>
        <w:t>, a community-based association advocating against poverty and famine, and for improved access to health.</w:t>
      </w:r>
      <w:r>
        <w:t xml:space="preserve"> In July 2017 Mr. Rukuki was arrested without a warrant and held by the SNR (National Intelligence Service) before being transferred to Ngozi Prison where he has been held ever since.  His previous employment at ACAT-Burundi formed the basis of the charges against him and although no conclusive evidence </w:t>
      </w:r>
      <w:proofErr w:type="gramStart"/>
      <w:r>
        <w:t>was ever presented</w:t>
      </w:r>
      <w:proofErr w:type="gramEnd"/>
      <w:r>
        <w:t xml:space="preserve">, he was sentenced to 32 years in prison </w:t>
      </w:r>
      <w:bookmarkStart w:id="0" w:name="DeltaPlaceHolderMain"/>
      <w:bookmarkStart w:id="1" w:name="ctl00_PlaceHolderMain_DisplayNewsID_lblN"/>
      <w:bookmarkEnd w:id="0"/>
      <w:bookmarkEnd w:id="1"/>
      <w:r>
        <w:t xml:space="preserve">on charges including rebellion and breach of state security.  </w:t>
      </w:r>
    </w:p>
    <w:p w14:paraId="6AD0D0C7" w14:textId="137E00C3" w:rsidR="0011558A" w:rsidRDefault="009800E9">
      <w:pPr>
        <w:spacing w:line="276" w:lineRule="auto"/>
        <w:jc w:val="both"/>
      </w:pPr>
      <w:bookmarkStart w:id="2" w:name="__DdeLink__31_3861412258"/>
      <w:r>
        <w:t xml:space="preserve">The violations to Mr. </w:t>
      </w:r>
      <w:proofErr w:type="spellStart"/>
      <w:r>
        <w:t>Rukuki’s</w:t>
      </w:r>
      <w:proofErr w:type="spellEnd"/>
      <w:r>
        <w:t xml:space="preserve"> right to a fair trial and due process</w:t>
      </w:r>
      <w:bookmarkEnd w:id="2"/>
      <w:r>
        <w:t xml:space="preserve"> have been</w:t>
      </w:r>
      <w:r w:rsidR="00CC6218">
        <w:t xml:space="preserve"> </w:t>
      </w:r>
      <w:proofErr w:type="spellStart"/>
      <w:r>
        <w:t>recognised</w:t>
      </w:r>
      <w:proofErr w:type="spellEnd"/>
      <w:r>
        <w:t xml:space="preserve"> and condemned</w:t>
      </w:r>
      <w:r w:rsidR="00CC6218">
        <w:t xml:space="preserve"> </w:t>
      </w:r>
      <w:r>
        <w:t>internationally,</w:t>
      </w:r>
      <w:r w:rsidR="002005EC">
        <w:t xml:space="preserve"> </w:t>
      </w:r>
      <w:r>
        <w:t xml:space="preserve">including </w:t>
      </w:r>
      <w:r w:rsidR="00CC6218">
        <w:t xml:space="preserve">in </w:t>
      </w:r>
      <w:r>
        <w:t xml:space="preserve">a </w:t>
      </w:r>
      <w:hyperlink r:id="rId8">
        <w:r>
          <w:rPr>
            <w:rStyle w:val="Hyperlink"/>
          </w:rPr>
          <w:t>letter</w:t>
        </w:r>
      </w:hyperlink>
      <w:r>
        <w:t xml:space="preserve"> to President</w:t>
      </w:r>
      <w:r w:rsidR="002005EC">
        <w:t xml:space="preserve"> Évariste</w:t>
      </w:r>
      <w:r>
        <w:t xml:space="preserve"> Ndayishimiye from five UN Special Procedures in September 2020</w:t>
      </w:r>
      <w:r w:rsidR="0011558A">
        <w:t>:</w:t>
      </w:r>
    </w:p>
    <w:p w14:paraId="48E936FF" w14:textId="10E441DC" w:rsidR="002005EC" w:rsidRPr="0011558A" w:rsidRDefault="0011558A">
      <w:pPr>
        <w:spacing w:line="276" w:lineRule="auto"/>
        <w:jc w:val="both"/>
      </w:pPr>
      <w:r w:rsidRPr="0011558A">
        <w:rPr>
          <w:i/>
          <w:sz w:val="23"/>
          <w:szCs w:val="23"/>
        </w:rPr>
        <w:t>“</w:t>
      </w:r>
      <w:r w:rsidRPr="009A4DCB">
        <w:rPr>
          <w:i/>
          <w:sz w:val="23"/>
          <w:szCs w:val="23"/>
        </w:rPr>
        <w:t>Numerous irregularities and p</w:t>
      </w:r>
      <w:r>
        <w:rPr>
          <w:i/>
          <w:sz w:val="23"/>
          <w:szCs w:val="23"/>
        </w:rPr>
        <w:t xml:space="preserve">rocedural flaws were recorded </w:t>
      </w:r>
      <w:r w:rsidRPr="009A4DCB">
        <w:rPr>
          <w:i/>
          <w:sz w:val="23"/>
          <w:szCs w:val="23"/>
        </w:rPr>
        <w:t>during the proceedings, which were held behind closed doors, in particular concerning the new offences retained, which were not investigated. Furthermore, it is reported that virtually no evidence was presented by the public prosecutor</w:t>
      </w:r>
      <w:r>
        <w:rPr>
          <w:i/>
          <w:sz w:val="23"/>
          <w:szCs w:val="23"/>
        </w:rPr>
        <w:t>..</w:t>
      </w:r>
      <w:r w:rsidRPr="009A4DCB">
        <w:rPr>
          <w:i/>
          <w:sz w:val="23"/>
          <w:szCs w:val="23"/>
        </w:rPr>
        <w:t>.</w:t>
      </w:r>
      <w:r w:rsidRPr="009A4DCB">
        <w:t>”</w:t>
      </w:r>
      <w:r>
        <w:t xml:space="preserve"> </w:t>
      </w:r>
      <w:r w:rsidR="00817F84">
        <w:rPr>
          <w:rStyle w:val="FootnoteReference"/>
        </w:rPr>
        <w:footnoteReference w:id="1"/>
      </w:r>
    </w:p>
    <w:p w14:paraId="6825ABB2" w14:textId="6BFE9385" w:rsidR="00A600F2" w:rsidRDefault="009800E9">
      <w:pPr>
        <w:spacing w:line="276" w:lineRule="auto"/>
        <w:jc w:val="both"/>
        <w:rPr>
          <w:lang w:val="en-GB"/>
        </w:rPr>
      </w:pPr>
      <w:r>
        <w:rPr>
          <w:lang w:val="en-GB"/>
        </w:rPr>
        <w:t xml:space="preserve">In addition, Mr. </w:t>
      </w:r>
      <w:proofErr w:type="spellStart"/>
      <w:r>
        <w:rPr>
          <w:lang w:val="en-GB"/>
        </w:rPr>
        <w:t>Rukuki’s</w:t>
      </w:r>
      <w:proofErr w:type="spellEnd"/>
      <w:r>
        <w:rPr>
          <w:lang w:val="en-GB"/>
        </w:rPr>
        <w:t xml:space="preserve"> detention violates the principles and guidelines on the right to a fair trial and legal assistance as laid out </w:t>
      </w:r>
      <w:proofErr w:type="gramStart"/>
      <w:r>
        <w:rPr>
          <w:lang w:val="en-GB"/>
        </w:rPr>
        <w:t xml:space="preserve">in both the </w:t>
      </w:r>
      <w:bookmarkStart w:id="3" w:name="__DdeLink__29_3861412258"/>
      <w:r w:rsidR="002005EC" w:rsidRPr="009A4DCB">
        <w:t xml:space="preserve">African Charter on Human and Peoples’ Rights </w:t>
      </w:r>
      <w:bookmarkEnd w:id="3"/>
      <w:r>
        <w:rPr>
          <w:lang w:val="en-GB"/>
        </w:rPr>
        <w:t xml:space="preserve">and the </w:t>
      </w:r>
      <w:r w:rsidR="002005EC" w:rsidRPr="009A4DCB">
        <w:t>International Covenant on Ci</w:t>
      </w:r>
      <w:proofErr w:type="spellStart"/>
      <w:r w:rsidR="00035AB1">
        <w:rPr>
          <w:lang w:val="en-GB"/>
        </w:rPr>
        <w:t>vil</w:t>
      </w:r>
      <w:proofErr w:type="spellEnd"/>
      <w:r w:rsidR="00035AB1">
        <w:rPr>
          <w:lang w:val="en-GB"/>
        </w:rPr>
        <w:t xml:space="preserve"> and Political Rights</w:t>
      </w:r>
      <w:r w:rsidR="002005EC" w:rsidRPr="009A4DCB">
        <w:t>,</w:t>
      </w:r>
      <w:r>
        <w:rPr>
          <w:lang w:val="en-GB"/>
        </w:rPr>
        <w:t xml:space="preserve"> of which Burundi has been a party to since 1990</w:t>
      </w:r>
      <w:proofErr w:type="gramEnd"/>
      <w:r>
        <w:rPr>
          <w:lang w:val="en-GB"/>
        </w:rPr>
        <w:t xml:space="preserve">. </w:t>
      </w:r>
    </w:p>
    <w:p w14:paraId="0838B6D1" w14:textId="3852CFBE" w:rsidR="00A600F2" w:rsidRDefault="009800E9">
      <w:pPr>
        <w:spacing w:line="276" w:lineRule="auto"/>
        <w:jc w:val="both"/>
        <w:rPr>
          <w:lang w:val="en-GB"/>
        </w:rPr>
      </w:pPr>
      <w:r>
        <w:rPr>
          <w:lang w:val="en-GB"/>
        </w:rPr>
        <w:lastRenderedPageBreak/>
        <w:t xml:space="preserve">Germain Rukuki has now spent nearly 4 years in prison. He has already waited an additional 30 days for this final verdict to </w:t>
      </w:r>
      <w:proofErr w:type="gramStart"/>
      <w:r>
        <w:rPr>
          <w:lang w:val="en-GB"/>
        </w:rPr>
        <w:t>be announced</w:t>
      </w:r>
      <w:proofErr w:type="gramEnd"/>
      <w:r>
        <w:rPr>
          <w:lang w:val="en-GB"/>
        </w:rPr>
        <w:t xml:space="preserve"> without any legal reason; he should not have to wait any longer. </w:t>
      </w:r>
      <w:r w:rsidR="00BD7590" w:rsidRPr="00BD7590">
        <w:rPr>
          <w:lang w:val="en-GB"/>
        </w:rPr>
        <w:t>We call on the Burundian Government to demonstrate their commitment to respect the independence of the Judiciary. We further call on the Burundian Appeals Court to comply fully with the fair trial obligations of Burundi under international law, announcing the v</w:t>
      </w:r>
      <w:r w:rsidR="00BD7590">
        <w:rPr>
          <w:lang w:val="en-GB"/>
        </w:rPr>
        <w:t>erdict in this case immediately</w:t>
      </w:r>
      <w:r>
        <w:rPr>
          <w:lang w:val="en-GB"/>
        </w:rPr>
        <w:t>.</w:t>
      </w:r>
    </w:p>
    <w:p w14:paraId="1E4748E8" w14:textId="77777777" w:rsidR="00A600F2" w:rsidRPr="009A4DCB" w:rsidRDefault="009800E9" w:rsidP="009A4DCB">
      <w:pPr>
        <w:spacing w:after="0" w:line="276" w:lineRule="auto"/>
        <w:jc w:val="both"/>
        <w:rPr>
          <w:u w:val="single"/>
          <w:lang w:val="fr-FR"/>
        </w:rPr>
      </w:pPr>
      <w:proofErr w:type="spellStart"/>
      <w:r w:rsidRPr="009A4DCB">
        <w:rPr>
          <w:u w:val="single"/>
          <w:lang w:val="fr-FR"/>
        </w:rPr>
        <w:t>Signed</w:t>
      </w:r>
      <w:proofErr w:type="spellEnd"/>
    </w:p>
    <w:p w14:paraId="24ECC142" w14:textId="6F36810D" w:rsidR="00A600F2" w:rsidRPr="00380319" w:rsidRDefault="009800E9" w:rsidP="00380319">
      <w:pPr>
        <w:pStyle w:val="ListParagraph"/>
        <w:numPr>
          <w:ilvl w:val="0"/>
          <w:numId w:val="2"/>
        </w:numPr>
        <w:spacing w:after="0"/>
        <w:jc w:val="both"/>
        <w:rPr>
          <w:lang w:val="fr-FR"/>
        </w:rPr>
      </w:pPr>
      <w:r w:rsidRPr="00380319">
        <w:rPr>
          <w:lang w:val="fr-FR"/>
        </w:rPr>
        <w:t>Agir ensemble pour les droits humains</w:t>
      </w:r>
      <w:r w:rsidR="007619F5" w:rsidRPr="00380319">
        <w:rPr>
          <w:lang w:val="fr-FR"/>
        </w:rPr>
        <w:t xml:space="preserve"> (AEDH)</w:t>
      </w:r>
    </w:p>
    <w:p w14:paraId="5A763F43" w14:textId="04049DCF" w:rsidR="007F47F7" w:rsidRPr="00380319" w:rsidRDefault="007F47F7" w:rsidP="00380319">
      <w:pPr>
        <w:pStyle w:val="ListParagraph"/>
        <w:numPr>
          <w:ilvl w:val="0"/>
          <w:numId w:val="2"/>
        </w:numPr>
        <w:spacing w:after="0"/>
        <w:jc w:val="both"/>
        <w:rPr>
          <w:lang w:val="fr-FR"/>
        </w:rPr>
      </w:pPr>
      <w:proofErr w:type="spellStart"/>
      <w:r w:rsidRPr="00380319">
        <w:rPr>
          <w:lang w:val="fr-FR"/>
        </w:rPr>
        <w:t>AfricanDefenders</w:t>
      </w:r>
      <w:proofErr w:type="spellEnd"/>
    </w:p>
    <w:p w14:paraId="486E6D4B" w14:textId="3DC1686F" w:rsidR="00574272" w:rsidRPr="00380319" w:rsidRDefault="00574272" w:rsidP="00380319">
      <w:pPr>
        <w:pStyle w:val="ListParagraph"/>
        <w:numPr>
          <w:ilvl w:val="0"/>
          <w:numId w:val="2"/>
        </w:numPr>
        <w:spacing w:after="0"/>
        <w:jc w:val="both"/>
        <w:rPr>
          <w:lang w:val="fr-FR"/>
        </w:rPr>
      </w:pPr>
      <w:r w:rsidRPr="00380319">
        <w:rPr>
          <w:lang w:val="fr-FR"/>
        </w:rPr>
        <w:t>Amnesty International</w:t>
      </w:r>
    </w:p>
    <w:p w14:paraId="0F30ABE3" w14:textId="3F2FF9DE" w:rsidR="007F47F7" w:rsidRPr="00380319" w:rsidRDefault="007F47F7" w:rsidP="00380319">
      <w:pPr>
        <w:pStyle w:val="ListParagraph"/>
        <w:numPr>
          <w:ilvl w:val="0"/>
          <w:numId w:val="2"/>
        </w:numPr>
        <w:spacing w:after="0"/>
        <w:jc w:val="both"/>
        <w:rPr>
          <w:rStyle w:val="acopre"/>
          <w:lang w:val="fr-FR"/>
        </w:rPr>
      </w:pPr>
      <w:r w:rsidRPr="00380319">
        <w:rPr>
          <w:rStyle w:val="acopre"/>
          <w:lang w:val="fr-FR"/>
        </w:rPr>
        <w:t xml:space="preserve">Association des Journalistes Burundais en Exil (AJBE) </w:t>
      </w:r>
    </w:p>
    <w:p w14:paraId="50E534C0" w14:textId="5723B056" w:rsidR="007F47F7" w:rsidRPr="00380319" w:rsidRDefault="007F47F7" w:rsidP="00380319">
      <w:pPr>
        <w:pStyle w:val="ListParagraph"/>
        <w:numPr>
          <w:ilvl w:val="0"/>
          <w:numId w:val="2"/>
        </w:numPr>
        <w:spacing w:after="0"/>
        <w:jc w:val="both"/>
        <w:rPr>
          <w:lang w:val="fr-FR"/>
        </w:rPr>
      </w:pPr>
      <w:r w:rsidRPr="00380319">
        <w:rPr>
          <w:lang w:val="fr-FR"/>
        </w:rPr>
        <w:t>Association pour la Coopération et l'Auto-</w:t>
      </w:r>
      <w:proofErr w:type="spellStart"/>
      <w:r w:rsidRPr="00380319">
        <w:rPr>
          <w:lang w:val="fr-FR"/>
        </w:rPr>
        <w:t>Developpement</w:t>
      </w:r>
      <w:proofErr w:type="spellEnd"/>
      <w:r w:rsidRPr="00380319">
        <w:rPr>
          <w:lang w:val="fr-FR"/>
        </w:rPr>
        <w:t xml:space="preserve"> (ACAD)</w:t>
      </w:r>
    </w:p>
    <w:p w14:paraId="65791F53" w14:textId="78159D9B" w:rsidR="007F47F7" w:rsidRPr="008536CD" w:rsidRDefault="007F47F7" w:rsidP="00380319">
      <w:pPr>
        <w:pStyle w:val="ListParagraph"/>
        <w:numPr>
          <w:ilvl w:val="0"/>
          <w:numId w:val="2"/>
        </w:numPr>
        <w:spacing w:after="0"/>
        <w:jc w:val="both"/>
      </w:pPr>
      <w:r w:rsidRPr="008536CD">
        <w:t xml:space="preserve">Burundi Human Rights Initiative </w:t>
      </w:r>
      <w:r w:rsidR="00574272" w:rsidRPr="008536CD">
        <w:t>(BHRI)</w:t>
      </w:r>
    </w:p>
    <w:p w14:paraId="1B4F4131" w14:textId="48FA701C" w:rsidR="00D713BC" w:rsidRDefault="00D713BC" w:rsidP="00380319">
      <w:pPr>
        <w:pStyle w:val="ListParagraph"/>
        <w:numPr>
          <w:ilvl w:val="0"/>
          <w:numId w:val="2"/>
        </w:numPr>
        <w:spacing w:after="0"/>
        <w:jc w:val="both"/>
        <w:rPr>
          <w:lang w:val="fr-FR"/>
        </w:rPr>
      </w:pPr>
      <w:r w:rsidRPr="00380319">
        <w:rPr>
          <w:lang w:val="fr-FR"/>
        </w:rPr>
        <w:t>Coalition burundaise des défenseurs des droits humains (CBDDH)</w:t>
      </w:r>
    </w:p>
    <w:p w14:paraId="4AABB02C" w14:textId="2552E824" w:rsidR="00006C27" w:rsidRPr="00006C27" w:rsidRDefault="00006C27" w:rsidP="00006C27">
      <w:pPr>
        <w:pStyle w:val="ListParagraph"/>
        <w:numPr>
          <w:ilvl w:val="0"/>
          <w:numId w:val="2"/>
        </w:numPr>
        <w:suppressAutoHyphens/>
        <w:spacing w:after="0"/>
        <w:jc w:val="both"/>
        <w:rPr>
          <w:lang w:val="fr-FR"/>
        </w:rPr>
      </w:pPr>
      <w:bookmarkStart w:id="4" w:name="_GoBack"/>
      <w:r w:rsidRPr="00EA4375">
        <w:rPr>
          <w:lang w:val="fr-FR"/>
        </w:rPr>
        <w:t>Coalition Burundaise pour la Cour Pénale Internationale (CB CPI)</w:t>
      </w:r>
    </w:p>
    <w:bookmarkEnd w:id="4"/>
    <w:p w14:paraId="7E6631A0" w14:textId="77777777" w:rsidR="00574272" w:rsidRPr="00380319" w:rsidRDefault="00574272" w:rsidP="00380319">
      <w:pPr>
        <w:pStyle w:val="ListParagraph"/>
        <w:numPr>
          <w:ilvl w:val="0"/>
          <w:numId w:val="2"/>
        </w:numPr>
        <w:spacing w:after="0"/>
        <w:jc w:val="both"/>
        <w:rPr>
          <w:lang w:val="fr-FR"/>
        </w:rPr>
      </w:pPr>
      <w:r w:rsidRPr="00380319">
        <w:rPr>
          <w:lang w:val="fr-FR"/>
        </w:rPr>
        <w:t>Collectif des Avocats pour la défense des victimes de crimes de droit international commis au Burundi (CAVIB)</w:t>
      </w:r>
    </w:p>
    <w:p w14:paraId="3F8F8349" w14:textId="77777777" w:rsidR="00574272" w:rsidRPr="00380319" w:rsidRDefault="00574272" w:rsidP="00380319">
      <w:pPr>
        <w:pStyle w:val="ListParagraph"/>
        <w:numPr>
          <w:ilvl w:val="0"/>
          <w:numId w:val="2"/>
        </w:numPr>
        <w:spacing w:after="0"/>
        <w:jc w:val="both"/>
        <w:rPr>
          <w:lang w:val="fr-FR"/>
        </w:rPr>
      </w:pPr>
      <w:r w:rsidRPr="00380319">
        <w:rPr>
          <w:lang w:val="fr-FR"/>
        </w:rPr>
        <w:t>Coalition de la Société Civile pour le Monitoring Electoral (COSOME)</w:t>
      </w:r>
    </w:p>
    <w:p w14:paraId="77D7F17C" w14:textId="21097131" w:rsidR="007F47F7" w:rsidRDefault="007F47F7" w:rsidP="00380319">
      <w:pPr>
        <w:pStyle w:val="ListParagraph"/>
        <w:numPr>
          <w:ilvl w:val="0"/>
          <w:numId w:val="2"/>
        </w:numPr>
        <w:spacing w:after="0"/>
        <w:jc w:val="both"/>
      </w:pPr>
      <w:proofErr w:type="spellStart"/>
      <w:r>
        <w:t>DefendDefenders</w:t>
      </w:r>
      <w:proofErr w:type="spellEnd"/>
      <w:r w:rsidR="0079009B">
        <w:t xml:space="preserve"> </w:t>
      </w:r>
      <w:r w:rsidR="0079009B" w:rsidRPr="00380319">
        <w:rPr>
          <w:rFonts w:eastAsia="Times New Roman" w:cstheme="minorHAnsi"/>
        </w:rPr>
        <w:t>(East and Horn of Africa Human Rights Defenders Project)</w:t>
      </w:r>
    </w:p>
    <w:p w14:paraId="59C89117" w14:textId="24A20CF6" w:rsidR="007F47F7" w:rsidRDefault="007F47F7" w:rsidP="00380319">
      <w:pPr>
        <w:pStyle w:val="ListParagraph"/>
        <w:numPr>
          <w:ilvl w:val="0"/>
          <w:numId w:val="2"/>
        </w:numPr>
        <w:spacing w:after="0"/>
        <w:jc w:val="both"/>
      </w:pPr>
      <w:r>
        <w:t>European Network for Central Africa (</w:t>
      </w:r>
      <w:proofErr w:type="spellStart"/>
      <w:r>
        <w:t>EurAc</w:t>
      </w:r>
      <w:proofErr w:type="spellEnd"/>
      <w:r>
        <w:t>)</w:t>
      </w:r>
    </w:p>
    <w:p w14:paraId="29BEC11E" w14:textId="0C91DDEE" w:rsidR="00A600F2" w:rsidRDefault="009800E9" w:rsidP="00380319">
      <w:pPr>
        <w:pStyle w:val="ListParagraph"/>
        <w:numPr>
          <w:ilvl w:val="0"/>
          <w:numId w:val="2"/>
        </w:numPr>
        <w:spacing w:after="0"/>
        <w:jc w:val="both"/>
      </w:pPr>
      <w:r>
        <w:t>F</w:t>
      </w:r>
      <w:r w:rsidR="009566FD">
        <w:t>IACAT</w:t>
      </w:r>
      <w:r>
        <w:t xml:space="preserve">: International Federation of ACAT </w:t>
      </w:r>
    </w:p>
    <w:p w14:paraId="160361F6" w14:textId="77777777" w:rsidR="00A600F2" w:rsidRDefault="009800E9" w:rsidP="00380319">
      <w:pPr>
        <w:pStyle w:val="ListParagraph"/>
        <w:numPr>
          <w:ilvl w:val="0"/>
          <w:numId w:val="2"/>
        </w:numPr>
        <w:spacing w:after="0"/>
        <w:jc w:val="both"/>
      </w:pPr>
      <w:r w:rsidRPr="00380319">
        <w:rPr>
          <w:lang w:val="en-GB"/>
        </w:rPr>
        <w:t>ACAT Burundi</w:t>
      </w:r>
    </w:p>
    <w:p w14:paraId="1AD1C77A" w14:textId="72270503" w:rsidR="00A600F2" w:rsidRPr="00380319" w:rsidRDefault="007619F5" w:rsidP="00380319">
      <w:pPr>
        <w:pStyle w:val="ListParagraph"/>
        <w:numPr>
          <w:ilvl w:val="0"/>
          <w:numId w:val="2"/>
        </w:numPr>
        <w:spacing w:after="0"/>
        <w:jc w:val="both"/>
        <w:rPr>
          <w:lang w:val="fr-FR"/>
        </w:rPr>
      </w:pPr>
      <w:r w:rsidRPr="00380319">
        <w:rPr>
          <w:lang w:val="fr-FR"/>
        </w:rPr>
        <w:t xml:space="preserve">ACAT République Centrafricaine </w:t>
      </w:r>
      <w:r w:rsidR="009800E9" w:rsidRPr="00380319">
        <w:rPr>
          <w:lang w:val="fr-FR"/>
        </w:rPr>
        <w:t>/</w:t>
      </w:r>
      <w:r w:rsidRPr="00380319">
        <w:rPr>
          <w:lang w:val="fr-FR"/>
        </w:rPr>
        <w:t xml:space="preserve"> </w:t>
      </w:r>
      <w:r w:rsidR="009800E9" w:rsidRPr="00380319">
        <w:rPr>
          <w:lang w:val="fr-FR"/>
        </w:rPr>
        <w:t xml:space="preserve">Central </w:t>
      </w:r>
      <w:proofErr w:type="spellStart"/>
      <w:r w:rsidR="009800E9" w:rsidRPr="00380319">
        <w:rPr>
          <w:lang w:val="fr-FR"/>
        </w:rPr>
        <w:t>African</w:t>
      </w:r>
      <w:proofErr w:type="spellEnd"/>
      <w:r w:rsidR="009800E9" w:rsidRPr="00380319">
        <w:rPr>
          <w:lang w:val="fr-FR"/>
        </w:rPr>
        <w:t xml:space="preserve"> </w:t>
      </w:r>
      <w:proofErr w:type="spellStart"/>
      <w:r w:rsidR="009800E9" w:rsidRPr="00380319">
        <w:rPr>
          <w:lang w:val="fr-FR"/>
        </w:rPr>
        <w:t>Republic</w:t>
      </w:r>
      <w:proofErr w:type="spellEnd"/>
    </w:p>
    <w:p w14:paraId="7CDE5421" w14:textId="77777777" w:rsidR="00A600F2" w:rsidRDefault="009800E9" w:rsidP="00380319">
      <w:pPr>
        <w:pStyle w:val="ListParagraph"/>
        <w:numPr>
          <w:ilvl w:val="0"/>
          <w:numId w:val="2"/>
        </w:numPr>
        <w:spacing w:after="0"/>
        <w:jc w:val="both"/>
      </w:pPr>
      <w:r w:rsidRPr="00380319">
        <w:rPr>
          <w:lang w:val="en-GB"/>
        </w:rPr>
        <w:t>ACAT Congo / Congo</w:t>
      </w:r>
    </w:p>
    <w:p w14:paraId="784E7AC2" w14:textId="77777777" w:rsidR="00A600F2" w:rsidRDefault="009800E9" w:rsidP="00380319">
      <w:pPr>
        <w:pStyle w:val="ListParagraph"/>
        <w:numPr>
          <w:ilvl w:val="0"/>
          <w:numId w:val="2"/>
        </w:numPr>
        <w:spacing w:after="0"/>
      </w:pPr>
      <w:r w:rsidRPr="00380319">
        <w:rPr>
          <w:lang w:val="en-GB"/>
        </w:rPr>
        <w:t>ACAT Côte d’Ivoire / Côte d’Ivoire</w:t>
      </w:r>
    </w:p>
    <w:p w14:paraId="75C85F95" w14:textId="5DF84018" w:rsidR="00A600F2" w:rsidRPr="00380319" w:rsidRDefault="009800E9" w:rsidP="00380319">
      <w:pPr>
        <w:pStyle w:val="ListParagraph"/>
        <w:numPr>
          <w:ilvl w:val="0"/>
          <w:numId w:val="2"/>
        </w:numPr>
        <w:spacing w:after="0"/>
        <w:rPr>
          <w:lang w:val="en-GB"/>
        </w:rPr>
      </w:pPr>
      <w:r w:rsidRPr="00380319">
        <w:rPr>
          <w:lang w:val="en-GB"/>
        </w:rPr>
        <w:t>ACAT Ghana /</w:t>
      </w:r>
      <w:r w:rsidR="007619F5" w:rsidRPr="00380319">
        <w:rPr>
          <w:lang w:val="en-GB"/>
        </w:rPr>
        <w:t xml:space="preserve"> </w:t>
      </w:r>
      <w:r w:rsidRPr="00380319">
        <w:rPr>
          <w:lang w:val="en-GB"/>
        </w:rPr>
        <w:t>Ghana</w:t>
      </w:r>
    </w:p>
    <w:p w14:paraId="2307C1C1" w14:textId="17BFCA3D" w:rsidR="00A600F2" w:rsidRDefault="009800E9" w:rsidP="00380319">
      <w:pPr>
        <w:pStyle w:val="ListParagraph"/>
        <w:numPr>
          <w:ilvl w:val="0"/>
          <w:numId w:val="2"/>
        </w:numPr>
        <w:spacing w:after="0"/>
      </w:pPr>
      <w:r w:rsidRPr="00380319">
        <w:rPr>
          <w:lang w:val="en-GB"/>
        </w:rPr>
        <w:t xml:space="preserve">ACAT </w:t>
      </w:r>
      <w:proofErr w:type="spellStart"/>
      <w:r w:rsidRPr="00380319">
        <w:rPr>
          <w:lang w:val="en-GB"/>
        </w:rPr>
        <w:t>Tchad</w:t>
      </w:r>
      <w:proofErr w:type="spellEnd"/>
      <w:r w:rsidRPr="00380319">
        <w:rPr>
          <w:lang w:val="en-GB"/>
        </w:rPr>
        <w:t xml:space="preserve"> /</w:t>
      </w:r>
      <w:r w:rsidR="007619F5" w:rsidRPr="00380319">
        <w:rPr>
          <w:lang w:val="en-GB"/>
        </w:rPr>
        <w:t xml:space="preserve"> </w:t>
      </w:r>
      <w:r w:rsidRPr="00380319">
        <w:rPr>
          <w:lang w:val="en-GB"/>
        </w:rPr>
        <w:t>Chad</w:t>
      </w:r>
    </w:p>
    <w:p w14:paraId="7BA0CEDE" w14:textId="77777777" w:rsidR="00A600F2" w:rsidRDefault="009800E9" w:rsidP="00380319">
      <w:pPr>
        <w:pStyle w:val="ListParagraph"/>
        <w:numPr>
          <w:ilvl w:val="0"/>
          <w:numId w:val="2"/>
        </w:numPr>
        <w:spacing w:after="0"/>
      </w:pPr>
      <w:r>
        <w:t>ACAT Canada / Canada</w:t>
      </w:r>
    </w:p>
    <w:p w14:paraId="632D1EF8" w14:textId="77777777" w:rsidR="00A600F2" w:rsidRPr="00380319" w:rsidRDefault="009800E9" w:rsidP="00380319">
      <w:pPr>
        <w:pStyle w:val="ListParagraph"/>
        <w:numPr>
          <w:ilvl w:val="0"/>
          <w:numId w:val="2"/>
        </w:numPr>
        <w:spacing w:after="0"/>
        <w:rPr>
          <w:lang w:val="fr-FR"/>
        </w:rPr>
      </w:pPr>
      <w:r w:rsidRPr="00380319">
        <w:rPr>
          <w:lang w:val="fr-FR"/>
        </w:rPr>
        <w:t>ACAT Allemagne / Germany</w:t>
      </w:r>
    </w:p>
    <w:p w14:paraId="550A07E7" w14:textId="77777777" w:rsidR="00A600F2" w:rsidRPr="00380319" w:rsidRDefault="009800E9" w:rsidP="00380319">
      <w:pPr>
        <w:pStyle w:val="ListParagraph"/>
        <w:numPr>
          <w:ilvl w:val="0"/>
          <w:numId w:val="2"/>
        </w:numPr>
        <w:spacing w:after="0"/>
        <w:rPr>
          <w:lang w:val="fr-FR"/>
        </w:rPr>
      </w:pPr>
      <w:r w:rsidRPr="00380319">
        <w:rPr>
          <w:lang w:val="fr-FR"/>
        </w:rPr>
        <w:t xml:space="preserve">ACAT Belgique/ </w:t>
      </w:r>
      <w:proofErr w:type="spellStart"/>
      <w:r w:rsidRPr="00380319">
        <w:rPr>
          <w:lang w:val="fr-FR"/>
        </w:rPr>
        <w:t>Belgium</w:t>
      </w:r>
      <w:proofErr w:type="spellEnd"/>
    </w:p>
    <w:p w14:paraId="7CDE13C3" w14:textId="33BE40C1" w:rsidR="00A600F2" w:rsidRPr="00380319" w:rsidRDefault="009800E9" w:rsidP="00380319">
      <w:pPr>
        <w:pStyle w:val="ListParagraph"/>
        <w:numPr>
          <w:ilvl w:val="0"/>
          <w:numId w:val="2"/>
        </w:numPr>
        <w:spacing w:after="0"/>
        <w:rPr>
          <w:lang w:val="fr-FR"/>
        </w:rPr>
      </w:pPr>
      <w:r w:rsidRPr="00380319">
        <w:rPr>
          <w:lang w:val="fr-FR"/>
        </w:rPr>
        <w:t>ACAT France /</w:t>
      </w:r>
      <w:r w:rsidR="007619F5" w:rsidRPr="00380319">
        <w:rPr>
          <w:lang w:val="fr-FR"/>
        </w:rPr>
        <w:t xml:space="preserve"> </w:t>
      </w:r>
      <w:r w:rsidRPr="00380319">
        <w:rPr>
          <w:lang w:val="fr-FR"/>
        </w:rPr>
        <w:t>France</w:t>
      </w:r>
    </w:p>
    <w:p w14:paraId="6EA920CA" w14:textId="24C7079A" w:rsidR="00A600F2" w:rsidRPr="00380319" w:rsidRDefault="009800E9" w:rsidP="00380319">
      <w:pPr>
        <w:pStyle w:val="ListParagraph"/>
        <w:numPr>
          <w:ilvl w:val="0"/>
          <w:numId w:val="2"/>
        </w:numPr>
        <w:spacing w:after="0"/>
        <w:rPr>
          <w:lang w:val="fr-FR"/>
        </w:rPr>
      </w:pPr>
      <w:r w:rsidRPr="00380319">
        <w:rPr>
          <w:lang w:val="fr-FR"/>
        </w:rPr>
        <w:t>ACAT Italie /</w:t>
      </w:r>
      <w:r w:rsidR="007619F5" w:rsidRPr="00380319">
        <w:rPr>
          <w:lang w:val="fr-FR"/>
        </w:rPr>
        <w:t xml:space="preserve"> </w:t>
      </w:r>
      <w:proofErr w:type="spellStart"/>
      <w:r w:rsidRPr="00380319">
        <w:rPr>
          <w:lang w:val="fr-FR"/>
        </w:rPr>
        <w:t>Italy</w:t>
      </w:r>
      <w:proofErr w:type="spellEnd"/>
    </w:p>
    <w:p w14:paraId="695BD673" w14:textId="77777777" w:rsidR="00A600F2" w:rsidRPr="00380319" w:rsidRDefault="009800E9" w:rsidP="00380319">
      <w:pPr>
        <w:pStyle w:val="ListParagraph"/>
        <w:numPr>
          <w:ilvl w:val="0"/>
          <w:numId w:val="2"/>
        </w:numPr>
        <w:spacing w:after="0"/>
        <w:rPr>
          <w:lang w:val="fr-FR"/>
        </w:rPr>
      </w:pPr>
      <w:r w:rsidRPr="00380319">
        <w:rPr>
          <w:lang w:val="fr-FR"/>
        </w:rPr>
        <w:t>ACAT Luxembourg / Luxembourg</w:t>
      </w:r>
    </w:p>
    <w:p w14:paraId="033ED75E" w14:textId="77777777" w:rsidR="00A600F2" w:rsidRPr="00380319" w:rsidRDefault="009800E9" w:rsidP="00380319">
      <w:pPr>
        <w:pStyle w:val="ListParagraph"/>
        <w:numPr>
          <w:ilvl w:val="0"/>
          <w:numId w:val="2"/>
        </w:numPr>
        <w:spacing w:after="0"/>
        <w:rPr>
          <w:lang w:val="fr-FR"/>
        </w:rPr>
      </w:pPr>
      <w:r w:rsidRPr="00380319">
        <w:rPr>
          <w:lang w:val="fr-FR"/>
        </w:rPr>
        <w:t>ACAT Mali</w:t>
      </w:r>
    </w:p>
    <w:p w14:paraId="1CD8DF9B" w14:textId="77777777" w:rsidR="00A600F2" w:rsidRPr="00380319" w:rsidRDefault="009800E9" w:rsidP="00380319">
      <w:pPr>
        <w:pStyle w:val="ListParagraph"/>
        <w:numPr>
          <w:ilvl w:val="0"/>
          <w:numId w:val="2"/>
        </w:numPr>
        <w:spacing w:after="0"/>
        <w:rPr>
          <w:lang w:val="fr-FR"/>
        </w:rPr>
      </w:pPr>
      <w:r w:rsidRPr="00380319">
        <w:rPr>
          <w:lang w:val="fr-FR"/>
        </w:rPr>
        <w:t>ACAT Royaume Uni / UK</w:t>
      </w:r>
    </w:p>
    <w:p w14:paraId="73DC8ED3" w14:textId="027B7079" w:rsidR="00A600F2" w:rsidRDefault="009800E9" w:rsidP="00380319">
      <w:pPr>
        <w:pStyle w:val="ListParagraph"/>
        <w:numPr>
          <w:ilvl w:val="0"/>
          <w:numId w:val="2"/>
        </w:numPr>
        <w:spacing w:after="0"/>
      </w:pPr>
      <w:r>
        <w:t>ACAT Suisse</w:t>
      </w:r>
      <w:r w:rsidR="007619F5">
        <w:t xml:space="preserve"> </w:t>
      </w:r>
      <w:r>
        <w:t xml:space="preserve">/ Switzerland </w:t>
      </w:r>
    </w:p>
    <w:p w14:paraId="7D83C2CF" w14:textId="5C5FFCF4" w:rsidR="00D713BC" w:rsidRPr="00380319" w:rsidRDefault="00D713BC" w:rsidP="00380319">
      <w:pPr>
        <w:pStyle w:val="ListParagraph"/>
        <w:numPr>
          <w:ilvl w:val="0"/>
          <w:numId w:val="2"/>
        </w:numPr>
        <w:spacing w:after="0"/>
        <w:jc w:val="both"/>
        <w:rPr>
          <w:lang w:val="fr-FR"/>
        </w:rPr>
      </w:pPr>
      <w:r w:rsidRPr="00380319">
        <w:rPr>
          <w:lang w:val="fr-FR"/>
        </w:rPr>
        <w:t>Forum pour le renforcement de la société civile (FORSC)</w:t>
      </w:r>
    </w:p>
    <w:p w14:paraId="22F887D4" w14:textId="10C55613" w:rsidR="007F47F7" w:rsidRPr="00380319" w:rsidRDefault="007F47F7" w:rsidP="00380319">
      <w:pPr>
        <w:pStyle w:val="ListParagraph"/>
        <w:numPr>
          <w:ilvl w:val="0"/>
          <w:numId w:val="2"/>
        </w:numPr>
        <w:spacing w:after="0"/>
        <w:jc w:val="both"/>
        <w:rPr>
          <w:lang w:val="fr-FR"/>
        </w:rPr>
      </w:pPr>
      <w:r w:rsidRPr="00380319">
        <w:rPr>
          <w:lang w:val="fr-FR"/>
        </w:rPr>
        <w:t>Front Line Defenders</w:t>
      </w:r>
    </w:p>
    <w:p w14:paraId="2D8B609C" w14:textId="77777777" w:rsidR="006B2C6F" w:rsidRPr="00380319" w:rsidRDefault="006B2C6F" w:rsidP="003803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t xml:space="preserve">International Federation for Human Rights </w:t>
      </w:r>
      <w:r w:rsidRPr="00380319">
        <w:rPr>
          <w:rFonts w:eastAsia="Times New Roman" w:cstheme="minorHAnsi"/>
        </w:rPr>
        <w:t>(FIDH), in the framework of the Observatory for the Protection of Human Rights Defenders</w:t>
      </w:r>
    </w:p>
    <w:p w14:paraId="5494E1B5" w14:textId="0057CCF3" w:rsidR="007F47F7" w:rsidRDefault="007F47F7" w:rsidP="00380319">
      <w:pPr>
        <w:pStyle w:val="ListParagraph"/>
        <w:numPr>
          <w:ilvl w:val="0"/>
          <w:numId w:val="2"/>
        </w:numPr>
        <w:spacing w:after="0"/>
        <w:jc w:val="both"/>
      </w:pPr>
      <w:r>
        <w:t>International Service for Human Rights (ISHR)</w:t>
      </w:r>
    </w:p>
    <w:p w14:paraId="435E3CD3" w14:textId="4E0FE022" w:rsidR="00574272" w:rsidRPr="00380319" w:rsidRDefault="00574272" w:rsidP="00380319">
      <w:pPr>
        <w:pStyle w:val="ListParagraph"/>
        <w:numPr>
          <w:ilvl w:val="0"/>
          <w:numId w:val="2"/>
        </w:numPr>
        <w:spacing w:after="0"/>
        <w:jc w:val="both"/>
        <w:rPr>
          <w:b/>
          <w:lang w:val="fr-FR"/>
        </w:rPr>
      </w:pPr>
      <w:proofErr w:type="spellStart"/>
      <w:r w:rsidRPr="00380319">
        <w:rPr>
          <w:lang w:val="fr-FR"/>
        </w:rPr>
        <w:t>Kadervorming</w:t>
      </w:r>
      <w:proofErr w:type="spellEnd"/>
      <w:r w:rsidRPr="00380319">
        <w:rPr>
          <w:lang w:val="fr-FR"/>
        </w:rPr>
        <w:t xml:space="preserve"> </w:t>
      </w:r>
      <w:proofErr w:type="spellStart"/>
      <w:r w:rsidRPr="00380319">
        <w:rPr>
          <w:lang w:val="fr-FR"/>
        </w:rPr>
        <w:t>voor</w:t>
      </w:r>
      <w:proofErr w:type="spellEnd"/>
      <w:r w:rsidRPr="00380319">
        <w:rPr>
          <w:lang w:val="fr-FR"/>
        </w:rPr>
        <w:t xml:space="preserve"> </w:t>
      </w:r>
      <w:proofErr w:type="spellStart"/>
      <w:r w:rsidRPr="00380319">
        <w:rPr>
          <w:lang w:val="fr-FR"/>
        </w:rPr>
        <w:t>Afrikanen</w:t>
      </w:r>
      <w:proofErr w:type="spellEnd"/>
      <w:r w:rsidR="007619F5" w:rsidRPr="00380319">
        <w:rPr>
          <w:lang w:val="fr-FR"/>
        </w:rPr>
        <w:t xml:space="preserve"> </w:t>
      </w:r>
      <w:r w:rsidRPr="00380319">
        <w:rPr>
          <w:lang w:val="fr-FR"/>
        </w:rPr>
        <w:t>/</w:t>
      </w:r>
      <w:r w:rsidR="007619F5" w:rsidRPr="00380319">
        <w:rPr>
          <w:lang w:val="fr-FR"/>
        </w:rPr>
        <w:t xml:space="preserve"> </w:t>
      </w:r>
      <w:r w:rsidRPr="00380319">
        <w:rPr>
          <w:lang w:val="fr-FR"/>
        </w:rPr>
        <w:t xml:space="preserve">Formation de Cadres Africains (KBA/FONCABA) </w:t>
      </w:r>
    </w:p>
    <w:p w14:paraId="53DF1E62" w14:textId="77777777" w:rsidR="0079009B" w:rsidRPr="00380319" w:rsidRDefault="0079009B" w:rsidP="00380319">
      <w:pPr>
        <w:pStyle w:val="ListParagraph"/>
        <w:numPr>
          <w:ilvl w:val="0"/>
          <w:numId w:val="2"/>
        </w:numPr>
        <w:spacing w:after="0"/>
        <w:jc w:val="both"/>
        <w:rPr>
          <w:rStyle w:val="hgkelc"/>
          <w:b/>
          <w:bCs/>
          <w:lang w:val="fr-FR"/>
        </w:rPr>
      </w:pPr>
      <w:r w:rsidRPr="00380319">
        <w:rPr>
          <w:rStyle w:val="hgkelc"/>
          <w:lang w:val="fr-FR"/>
        </w:rPr>
        <w:t xml:space="preserve">La Ligue </w:t>
      </w:r>
      <w:r w:rsidRPr="00380319">
        <w:rPr>
          <w:rStyle w:val="hgkelc"/>
          <w:bCs/>
          <w:lang w:val="fr-FR"/>
        </w:rPr>
        <w:t>Burundaise des Droits de l'Homme ITEKA</w:t>
      </w:r>
    </w:p>
    <w:p w14:paraId="40B7070E" w14:textId="692F3A5E" w:rsidR="00574272" w:rsidRPr="00380319" w:rsidRDefault="00574272" w:rsidP="00380319">
      <w:pPr>
        <w:pStyle w:val="ListParagraph"/>
        <w:numPr>
          <w:ilvl w:val="0"/>
          <w:numId w:val="2"/>
        </w:numPr>
        <w:spacing w:after="0"/>
        <w:jc w:val="both"/>
        <w:rPr>
          <w:rStyle w:val="acopre"/>
          <w:lang w:val="fr-FR"/>
        </w:rPr>
      </w:pPr>
      <w:r w:rsidRPr="00380319">
        <w:rPr>
          <w:rStyle w:val="acopre"/>
          <w:lang w:val="fr-FR"/>
        </w:rPr>
        <w:t xml:space="preserve">Mouvement </w:t>
      </w:r>
      <w:r w:rsidRPr="00380319">
        <w:rPr>
          <w:rStyle w:val="Emphasis"/>
          <w:i w:val="0"/>
          <w:lang w:val="fr-FR"/>
        </w:rPr>
        <w:t>INAMAHORO,</w:t>
      </w:r>
      <w:r w:rsidRPr="00380319">
        <w:rPr>
          <w:rStyle w:val="acopre"/>
          <w:i/>
          <w:lang w:val="fr-FR"/>
        </w:rPr>
        <w:t xml:space="preserve"> </w:t>
      </w:r>
      <w:r w:rsidRPr="00380319">
        <w:rPr>
          <w:rStyle w:val="acopre"/>
          <w:lang w:val="fr-FR"/>
        </w:rPr>
        <w:t>femmes &amp; filles pour la paix &amp; la sécurité</w:t>
      </w:r>
    </w:p>
    <w:p w14:paraId="2027A75B" w14:textId="6DD5DE1E" w:rsidR="007F47F7" w:rsidRPr="00380319" w:rsidRDefault="007F47F7" w:rsidP="00380319">
      <w:pPr>
        <w:pStyle w:val="ListParagraph"/>
        <w:numPr>
          <w:ilvl w:val="0"/>
          <w:numId w:val="2"/>
        </w:numPr>
        <w:spacing w:after="0"/>
        <w:jc w:val="both"/>
        <w:rPr>
          <w:lang w:val="fr-FR"/>
        </w:rPr>
      </w:pPr>
      <w:r w:rsidRPr="00380319">
        <w:rPr>
          <w:rStyle w:val="acopre"/>
          <w:lang w:val="fr-FR"/>
        </w:rPr>
        <w:lastRenderedPageBreak/>
        <w:t>Observatoire de la lutte contre la corruption et les malversations économiques (OLUCOME)</w:t>
      </w:r>
    </w:p>
    <w:p w14:paraId="4D64EAA0" w14:textId="79C511A1" w:rsidR="00D7764F" w:rsidRPr="00380319" w:rsidRDefault="00D7764F" w:rsidP="00380319">
      <w:pPr>
        <w:pStyle w:val="ListParagraph"/>
        <w:numPr>
          <w:ilvl w:val="0"/>
          <w:numId w:val="2"/>
        </w:numPr>
        <w:spacing w:after="0"/>
        <w:jc w:val="both"/>
        <w:rPr>
          <w:lang w:val="fr-FR"/>
        </w:rPr>
      </w:pPr>
      <w:r w:rsidRPr="00380319">
        <w:rPr>
          <w:lang w:val="fr-FR"/>
        </w:rPr>
        <w:t>Protection International</w:t>
      </w:r>
    </w:p>
    <w:p w14:paraId="136A852C" w14:textId="7883B568" w:rsidR="00D713BC" w:rsidRPr="00380319" w:rsidRDefault="00D713BC" w:rsidP="00380319">
      <w:pPr>
        <w:pStyle w:val="ListParagraph"/>
        <w:numPr>
          <w:ilvl w:val="0"/>
          <w:numId w:val="2"/>
        </w:numPr>
        <w:spacing w:after="0"/>
        <w:jc w:val="both"/>
        <w:rPr>
          <w:lang w:val="fr-FR"/>
        </w:rPr>
      </w:pPr>
      <w:r w:rsidRPr="00380319">
        <w:rPr>
          <w:lang w:val="fr-FR"/>
        </w:rPr>
        <w:t>Réseau des Citoyens Probes (RCP)</w:t>
      </w:r>
    </w:p>
    <w:p w14:paraId="07193476" w14:textId="704C3978" w:rsidR="007F47F7" w:rsidRDefault="007F47F7" w:rsidP="00380319">
      <w:pPr>
        <w:pStyle w:val="ListParagraph"/>
        <w:numPr>
          <w:ilvl w:val="0"/>
          <w:numId w:val="2"/>
        </w:numPr>
        <w:spacing w:after="0"/>
        <w:jc w:val="both"/>
      </w:pPr>
      <w:proofErr w:type="spellStart"/>
      <w:r>
        <w:t>Sapi</w:t>
      </w:r>
      <w:proofErr w:type="spellEnd"/>
      <w:r>
        <w:t xml:space="preserve"> Lausanne</w:t>
      </w:r>
    </w:p>
    <w:p w14:paraId="37459BAB" w14:textId="1E93B9EA" w:rsidR="00574272" w:rsidRDefault="00574272" w:rsidP="00380319">
      <w:pPr>
        <w:pStyle w:val="ListParagraph"/>
        <w:numPr>
          <w:ilvl w:val="0"/>
          <w:numId w:val="2"/>
        </w:numPr>
        <w:spacing w:after="0"/>
        <w:jc w:val="both"/>
      </w:pPr>
      <w:r>
        <w:t>SOS-Torture/Burundi</w:t>
      </w:r>
    </w:p>
    <w:p w14:paraId="6F602D6F" w14:textId="579B97BE" w:rsidR="00A600F2" w:rsidRDefault="009800E9" w:rsidP="00380319">
      <w:pPr>
        <w:pStyle w:val="ListParagraph"/>
        <w:numPr>
          <w:ilvl w:val="0"/>
          <w:numId w:val="2"/>
        </w:numPr>
        <w:spacing w:after="0"/>
        <w:jc w:val="both"/>
      </w:pPr>
      <w:r>
        <w:t xml:space="preserve">World </w:t>
      </w:r>
      <w:proofErr w:type="spellStart"/>
      <w:r>
        <w:t>Organisation</w:t>
      </w:r>
      <w:proofErr w:type="spellEnd"/>
      <w:r>
        <w:t xml:space="preserve"> Against Torture (OMCT), in the framework of the Observatory for the Protection of Human Rights Defenders</w:t>
      </w:r>
    </w:p>
    <w:p w14:paraId="2BD82838" w14:textId="6CFE3D93" w:rsidR="00A600F2" w:rsidRDefault="009800E9" w:rsidP="00380319">
      <w:pPr>
        <w:pStyle w:val="ListParagraph"/>
        <w:numPr>
          <w:ilvl w:val="0"/>
          <w:numId w:val="2"/>
        </w:numPr>
        <w:spacing w:after="0"/>
        <w:jc w:val="both"/>
      </w:pPr>
      <w:proofErr w:type="spellStart"/>
      <w:r>
        <w:t>Tournons</w:t>
      </w:r>
      <w:proofErr w:type="spellEnd"/>
      <w:r>
        <w:t xml:space="preserve"> La Page </w:t>
      </w:r>
    </w:p>
    <w:p w14:paraId="708D1EC5" w14:textId="5F666E7D" w:rsidR="007F47F7" w:rsidRPr="00380319" w:rsidRDefault="007F47F7" w:rsidP="00380319">
      <w:pPr>
        <w:pStyle w:val="ListParagraph"/>
        <w:numPr>
          <w:ilvl w:val="0"/>
          <w:numId w:val="2"/>
        </w:numPr>
        <w:spacing w:after="0"/>
        <w:jc w:val="both"/>
        <w:rPr>
          <w:lang w:val="fr-FR"/>
        </w:rPr>
      </w:pPr>
      <w:r w:rsidRPr="00380319">
        <w:rPr>
          <w:lang w:val="fr-FR"/>
        </w:rPr>
        <w:t>Union Burundaise des journalist</w:t>
      </w:r>
      <w:r w:rsidR="00557184" w:rsidRPr="00380319">
        <w:rPr>
          <w:lang w:val="fr-FR"/>
        </w:rPr>
        <w:t>e</w:t>
      </w:r>
      <w:r w:rsidRPr="00380319">
        <w:rPr>
          <w:lang w:val="fr-FR"/>
        </w:rPr>
        <w:t xml:space="preserve">s (UBJ) </w:t>
      </w:r>
    </w:p>
    <w:sectPr w:rsidR="007F47F7" w:rsidRPr="0038031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3668E" w14:textId="77777777" w:rsidR="009E42EB" w:rsidRDefault="009E42EB" w:rsidP="00817F84">
      <w:pPr>
        <w:spacing w:after="0" w:line="240" w:lineRule="auto"/>
      </w:pPr>
      <w:r>
        <w:separator/>
      </w:r>
    </w:p>
  </w:endnote>
  <w:endnote w:type="continuationSeparator" w:id="0">
    <w:p w14:paraId="19228B24" w14:textId="77777777" w:rsidR="009E42EB" w:rsidRDefault="009E42EB" w:rsidP="0081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1"/>
    <w:family w:val="swiss"/>
    <w:pitch w:val="variable"/>
    <w:sig w:usb0="E10002FF" w:usb1="5000ECFF" w:usb2="00000009" w:usb3="00000000" w:csb0="0000019F" w:csb1="00000000"/>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5EEF0" w14:textId="77777777" w:rsidR="009E42EB" w:rsidRDefault="009E42EB" w:rsidP="00817F84">
      <w:pPr>
        <w:spacing w:after="0" w:line="240" w:lineRule="auto"/>
      </w:pPr>
      <w:r>
        <w:separator/>
      </w:r>
    </w:p>
  </w:footnote>
  <w:footnote w:type="continuationSeparator" w:id="0">
    <w:p w14:paraId="0EB398DF" w14:textId="77777777" w:rsidR="009E42EB" w:rsidRDefault="009E42EB" w:rsidP="00817F84">
      <w:pPr>
        <w:spacing w:after="0" w:line="240" w:lineRule="auto"/>
      </w:pPr>
      <w:r>
        <w:continuationSeparator/>
      </w:r>
    </w:p>
  </w:footnote>
  <w:footnote w:id="1">
    <w:p w14:paraId="51202908" w14:textId="7FE7A835" w:rsidR="00817F84" w:rsidRDefault="00817F84" w:rsidP="00817F84">
      <w:pPr>
        <w:pStyle w:val="FootnoteText"/>
      </w:pPr>
      <w:r>
        <w:rPr>
          <w:rStyle w:val="FootnoteReference"/>
        </w:rPr>
        <w:footnoteRef/>
      </w:r>
      <w:r>
        <w:t xml:space="preserve"> Special Procedures communication reports, 29 Sep 2020, Burundi, JAL, BDI 2/2020. </w:t>
      </w:r>
      <w:hyperlink r:id="rId1" w:history="1">
        <w:r w:rsidRPr="00774DD9">
          <w:rPr>
            <w:rStyle w:val="Hyperlink"/>
          </w:rPr>
          <w:t>https://spcommreports.ohchr.org/TMResultsBase/DownLoadPublicCommunicationFile?gId=25577</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D0B"/>
    <w:multiLevelType w:val="hybridMultilevel"/>
    <w:tmpl w:val="315ABD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86866"/>
    <w:multiLevelType w:val="hybridMultilevel"/>
    <w:tmpl w:val="42181FF6"/>
    <w:lvl w:ilvl="0" w:tplc="791460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66BD4"/>
    <w:multiLevelType w:val="hybridMultilevel"/>
    <w:tmpl w:val="85B02778"/>
    <w:lvl w:ilvl="0" w:tplc="7C183A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F2"/>
    <w:rsid w:val="00006C27"/>
    <w:rsid w:val="00030EFD"/>
    <w:rsid w:val="00035AB1"/>
    <w:rsid w:val="000F5CBB"/>
    <w:rsid w:val="0011558A"/>
    <w:rsid w:val="00123E48"/>
    <w:rsid w:val="002005EC"/>
    <w:rsid w:val="00286B57"/>
    <w:rsid w:val="00380319"/>
    <w:rsid w:val="003B173F"/>
    <w:rsid w:val="00407939"/>
    <w:rsid w:val="004A3585"/>
    <w:rsid w:val="00523022"/>
    <w:rsid w:val="00557184"/>
    <w:rsid w:val="00574272"/>
    <w:rsid w:val="00601548"/>
    <w:rsid w:val="006B2C6F"/>
    <w:rsid w:val="00740C30"/>
    <w:rsid w:val="007619F5"/>
    <w:rsid w:val="0079009B"/>
    <w:rsid w:val="007F47F7"/>
    <w:rsid w:val="00817F84"/>
    <w:rsid w:val="008536CD"/>
    <w:rsid w:val="0086053C"/>
    <w:rsid w:val="009333A1"/>
    <w:rsid w:val="009566FD"/>
    <w:rsid w:val="009800E9"/>
    <w:rsid w:val="009A4DCB"/>
    <w:rsid w:val="009E0251"/>
    <w:rsid w:val="009E42EB"/>
    <w:rsid w:val="00A600F2"/>
    <w:rsid w:val="00BD7590"/>
    <w:rsid w:val="00CC6218"/>
    <w:rsid w:val="00D713BC"/>
    <w:rsid w:val="00D7764F"/>
    <w:rsid w:val="00E83B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A8"/>
  <w15:docId w15:val="{D2550F42-B31B-444A-B3FF-7F04AD0E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0B2"/>
    <w:rPr>
      <w:color w:val="0563C1" w:themeColor="hyperlink"/>
      <w:u w:val="single"/>
    </w:rPr>
  </w:style>
  <w:style w:type="character" w:customStyle="1" w:styleId="BalloonTextChar">
    <w:name w:val="Balloon Text Char"/>
    <w:basedOn w:val="DefaultParagraphFont"/>
    <w:link w:val="BalloonText"/>
    <w:uiPriority w:val="99"/>
    <w:semiHidden/>
    <w:qFormat/>
    <w:rsid w:val="002F2FF0"/>
    <w:rPr>
      <w:rFonts w:ascii="Segoe UI" w:hAnsi="Segoe UI" w:cs="Segoe UI"/>
      <w:sz w:val="18"/>
      <w:szCs w:val="18"/>
    </w:rPr>
  </w:style>
  <w:style w:type="character" w:styleId="CommentReference">
    <w:name w:val="annotation reference"/>
    <w:basedOn w:val="DefaultParagraphFont"/>
    <w:uiPriority w:val="99"/>
    <w:semiHidden/>
    <w:unhideWhenUsed/>
    <w:qFormat/>
    <w:rsid w:val="002F2FF0"/>
    <w:rPr>
      <w:sz w:val="16"/>
      <w:szCs w:val="16"/>
    </w:rPr>
  </w:style>
  <w:style w:type="character" w:customStyle="1" w:styleId="CommentTextChar">
    <w:name w:val="Comment Text Char"/>
    <w:basedOn w:val="DefaultParagraphFont"/>
    <w:link w:val="CommentText"/>
    <w:uiPriority w:val="99"/>
    <w:semiHidden/>
    <w:qFormat/>
    <w:rsid w:val="002F2FF0"/>
    <w:rPr>
      <w:sz w:val="20"/>
      <w:szCs w:val="20"/>
    </w:rPr>
  </w:style>
  <w:style w:type="character" w:customStyle="1" w:styleId="CommentSubjectChar">
    <w:name w:val="Comment Subject Char"/>
    <w:basedOn w:val="CommentTextChar"/>
    <w:link w:val="CommentSubject"/>
    <w:uiPriority w:val="99"/>
    <w:semiHidden/>
    <w:qFormat/>
    <w:rsid w:val="002F2FF0"/>
    <w:rPr>
      <w:b/>
      <w:bCs/>
      <w:sz w:val="20"/>
      <w:szCs w:val="20"/>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2F2FF0"/>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2F2FF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F2FF0"/>
    <w:rPr>
      <w:b/>
      <w:bCs/>
    </w:rPr>
  </w:style>
  <w:style w:type="paragraph" w:customStyle="1" w:styleId="TableNormal1">
    <w:name w:val="Table Normal1"/>
    <w:qFormat/>
    <w:pPr>
      <w:spacing w:after="160" w:line="256" w:lineRule="auto"/>
    </w:pPr>
    <w:rPr>
      <w:rFonts w:eastAsia="Times New Roman" w:cs="Times New Roman"/>
      <w:sz w:val="22"/>
      <w:lang w:val="fr-BE"/>
    </w:rPr>
  </w:style>
  <w:style w:type="paragraph" w:styleId="FootnoteText">
    <w:name w:val="footnote text"/>
    <w:basedOn w:val="Normal"/>
    <w:link w:val="FootnoteTextChar"/>
    <w:uiPriority w:val="99"/>
    <w:semiHidden/>
    <w:unhideWhenUsed/>
    <w:rsid w:val="00817F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F84"/>
    <w:rPr>
      <w:szCs w:val="20"/>
    </w:rPr>
  </w:style>
  <w:style w:type="character" w:styleId="FootnoteReference">
    <w:name w:val="footnote reference"/>
    <w:basedOn w:val="DefaultParagraphFont"/>
    <w:uiPriority w:val="99"/>
    <w:semiHidden/>
    <w:unhideWhenUsed/>
    <w:rsid w:val="00817F84"/>
    <w:rPr>
      <w:vertAlign w:val="superscript"/>
    </w:rPr>
  </w:style>
  <w:style w:type="character" w:customStyle="1" w:styleId="acopre">
    <w:name w:val="acopre"/>
    <w:basedOn w:val="DefaultParagraphFont"/>
    <w:rsid w:val="007F47F7"/>
  </w:style>
  <w:style w:type="character" w:styleId="Emphasis">
    <w:name w:val="Emphasis"/>
    <w:basedOn w:val="DefaultParagraphFont"/>
    <w:uiPriority w:val="20"/>
    <w:qFormat/>
    <w:rsid w:val="00D713BC"/>
    <w:rPr>
      <w:i/>
      <w:iCs/>
    </w:rPr>
  </w:style>
  <w:style w:type="paragraph" w:styleId="ListParagraph">
    <w:name w:val="List Paragraph"/>
    <w:basedOn w:val="Normal"/>
    <w:uiPriority w:val="34"/>
    <w:qFormat/>
    <w:rsid w:val="0079009B"/>
    <w:pPr>
      <w:suppressAutoHyphens w:val="0"/>
      <w:spacing w:after="200" w:line="276" w:lineRule="auto"/>
      <w:ind w:left="720"/>
      <w:contextualSpacing/>
    </w:pPr>
  </w:style>
  <w:style w:type="character" w:customStyle="1" w:styleId="hgkelc">
    <w:name w:val="hgkelc"/>
    <w:basedOn w:val="DefaultParagraphFont"/>
    <w:rsid w:val="0079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2981">
      <w:bodyDiv w:val="1"/>
      <w:marLeft w:val="0"/>
      <w:marRight w:val="0"/>
      <w:marTop w:val="0"/>
      <w:marBottom w:val="0"/>
      <w:divBdr>
        <w:top w:val="none" w:sz="0" w:space="0" w:color="auto"/>
        <w:left w:val="none" w:sz="0" w:space="0" w:color="auto"/>
        <w:bottom w:val="none" w:sz="0" w:space="0" w:color="auto"/>
        <w:right w:val="none" w:sz="0" w:space="0" w:color="auto"/>
      </w:divBdr>
    </w:div>
    <w:div w:id="684012848">
      <w:bodyDiv w:val="1"/>
      <w:marLeft w:val="0"/>
      <w:marRight w:val="0"/>
      <w:marTop w:val="0"/>
      <w:marBottom w:val="0"/>
      <w:divBdr>
        <w:top w:val="none" w:sz="0" w:space="0" w:color="auto"/>
        <w:left w:val="none" w:sz="0" w:space="0" w:color="auto"/>
        <w:bottom w:val="none" w:sz="0" w:space="0" w:color="auto"/>
        <w:right w:val="none" w:sz="0" w:space="0" w:color="auto"/>
      </w:divBdr>
    </w:div>
    <w:div w:id="132311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commreports.ohchr.org/TMResultsBase/DownLoadPublicCommunicationFile?gId=2557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commreports.ohchr.org/TMResultsBase/DownLoadPublicCommunicationFile?gId=25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9DDC-3343-4CDA-825A-65E2E1D8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Humphreys</dc:creator>
  <dc:description/>
  <cp:lastModifiedBy>Emily Humphreys</cp:lastModifiedBy>
  <cp:revision>24</cp:revision>
  <dcterms:created xsi:type="dcterms:W3CDTF">2021-05-20T11:03:00Z</dcterms:created>
  <dcterms:modified xsi:type="dcterms:W3CDTF">2021-05-21T11:01:00Z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