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2A4EB" w14:textId="0572B798" w:rsidR="00CD160B" w:rsidRPr="00DB7962" w:rsidRDefault="00DB7962" w:rsidP="00DB7962">
      <w:r w:rsidRPr="00DB7962">
        <w:drawing>
          <wp:inline distT="0" distB="0" distL="0" distR="0" wp14:anchorId="5B11C900" wp14:editId="279FACBC">
            <wp:extent cx="5731510" cy="26746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 xml:space="preserve">Integrantes </w:t>
      </w:r>
    </w:p>
    <w:sectPr w:rsidR="00CD160B" w:rsidRPr="00DB796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60B"/>
    <w:rsid w:val="00CD160B"/>
    <w:rsid w:val="00DB7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2697C"/>
  <w15:chartTrackingRefBased/>
  <w15:docId w15:val="{F9F193EA-8D01-4DBC-B6A4-973191BE5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Laboratório FIAP</cp:lastModifiedBy>
  <cp:revision>3</cp:revision>
  <dcterms:created xsi:type="dcterms:W3CDTF">2026-05-06T01:25:00Z</dcterms:created>
  <dcterms:modified xsi:type="dcterms:W3CDTF">2026-05-06T01:28:00Z</dcterms:modified>
</cp:coreProperties>
</file>