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FA5A"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Households with Children Under 18</w:t>
      </w:r>
    </w:p>
    <w:p w14:paraId="0F7A217F"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households living with children under 18.</w:t>
      </w:r>
    </w:p>
    <w:p w14:paraId="773648D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Single-Person Households</w:t>
      </w:r>
    </w:p>
    <w:p w14:paraId="789679BC"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households with only one member.</w:t>
      </w:r>
    </w:p>
    <w:p w14:paraId="32E19333"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Sub-Borough Area</w:t>
      </w:r>
    </w:p>
    <w:p w14:paraId="12D8DBC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An aggregation of census tracts within county lines containing at least 100,000 people. Sub-borough areas closely align with Community Districts defined by New York City and Public Use Microdata Areas from the U.S. Census Bureau.</w:t>
      </w:r>
    </w:p>
    <w:p w14:paraId="127ABE1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Community District</w:t>
      </w:r>
    </w:p>
    <w:p w14:paraId="09DB5A8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community district (CD) where the property is located. CDs are local-level political units unique to New York City. There are 59 CDs throughout the five boroughs. The name approximates the neighborhoods within the CD, and is not an official designation.</w:t>
      </w:r>
    </w:p>
    <w:p w14:paraId="7E1753F9"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Housing Units</w:t>
      </w:r>
    </w:p>
    <w:p w14:paraId="5FFD606E"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A house, apartment, mobile home, group of rooms, or single room that is occupied (or is vacant and intended for occupancy) as separate living quarters.</w:t>
      </w:r>
    </w:p>
    <w:p w14:paraId="6D417F42"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Owner</w:t>
      </w:r>
    </w:p>
    <w:p w14:paraId="04BC054F"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person or entity that owns the property, as reported by the New York City Department of Finance.</w:t>
      </w:r>
    </w:p>
    <w:p w14:paraId="5A359369"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Total Units</w:t>
      </w:r>
    </w:p>
    <w:p w14:paraId="54650141"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total number of residential units in the property, including both subsidized and unsubsidized units.</w:t>
      </w:r>
    </w:p>
    <w:p w14:paraId="00C832B3"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Year Built</w:t>
      </w:r>
    </w:p>
    <w:p w14:paraId="1B4DA963"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year construction of the property was completed. The data comes from the Department of Finance's Real Property Assessment Database, and is often approximate. Specific buildings in the property may have been finished in different years.</w:t>
      </w:r>
    </w:p>
    <w:p w14:paraId="4A6D918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Born in New York State</w:t>
      </w:r>
    </w:p>
    <w:p w14:paraId="6874FA3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city residents who were born in New York State.</w:t>
      </w:r>
    </w:p>
    <w:p w14:paraId="1464C91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Disabled Population</w:t>
      </w:r>
    </w:p>
    <w:p w14:paraId="79846B85"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the adult population who have disabilities that impair hearing, vision, ambulation, cognition, self-care, or independent living.</w:t>
      </w:r>
    </w:p>
    <w:p w14:paraId="524A0093"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Foreign-Born Population</w:t>
      </w:r>
    </w:p>
    <w:p w14:paraId="7C04DB65"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the population that is born outside the United States or Puerto Rico.</w:t>
      </w:r>
    </w:p>
    <w:p w14:paraId="3CAAB9E5"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Households with Children Under 18</w:t>
      </w:r>
    </w:p>
    <w:p w14:paraId="7CAA66EC"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households living with children under 18.</w:t>
      </w:r>
    </w:p>
    <w:p w14:paraId="049990F4"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Income Diversity Ratio</w:t>
      </w:r>
    </w:p>
    <w:p w14:paraId="125A81B0"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lastRenderedPageBreak/>
        <w:t>The income earned by the 80th percentile household divided by the income earned by the 20th percentile household for a given geographic area, excluding all households without positive income.</w:t>
      </w:r>
    </w:p>
    <w:p w14:paraId="0B036AC9"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Labor Force Participation Rate</w:t>
      </w:r>
    </w:p>
    <w:p w14:paraId="1D24690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people aged 16 years and older who are in the civilian labor force, divided by the total number of non-institutionalized people aged 16 years and older.</w:t>
      </w:r>
    </w:p>
    <w:p w14:paraId="614561C1"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Median Household Income</w:t>
      </w:r>
    </w:p>
    <w:p w14:paraId="3DC404E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total income of all members of a household aged 15 years or older. Includes both homeowner households and renter households.</w:t>
      </w:r>
    </w:p>
    <w:p w14:paraId="1585476D"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w:t>
      </w:r>
    </w:p>
    <w:p w14:paraId="3511D6C6"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All people, both children and adults, living in a given geographic area.</w:t>
      </w:r>
    </w:p>
    <w:p w14:paraId="45D32B16"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 Aged 25+ with a Bachelor’s Degree or Higher</w:t>
      </w:r>
    </w:p>
    <w:p w14:paraId="5128CD5F"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the population aged 25 and older who have attained a bachelor's degree or higher.</w:t>
      </w:r>
    </w:p>
    <w:p w14:paraId="79C77900"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 Aged 25+ without a High School Diploma</w:t>
      </w:r>
    </w:p>
    <w:p w14:paraId="7479EB89"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the population aged 25 and older who have not graduated from high school or received a GED.</w:t>
      </w:r>
    </w:p>
    <w:p w14:paraId="6445F6CE"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 Aged 65 and Older</w:t>
      </w:r>
    </w:p>
    <w:p w14:paraId="6B1A2835"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residents who are aged 65 years and older.</w:t>
      </w:r>
    </w:p>
    <w:p w14:paraId="57E7939B"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Poverty Rate</w:t>
      </w:r>
    </w:p>
    <w:p w14:paraId="6A168449"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people below the poverty threshold divided by the number of people for whom poverty status was determined.</w:t>
      </w:r>
    </w:p>
    <w:p w14:paraId="4BE7D350"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Racial Diversity Index</w:t>
      </w:r>
    </w:p>
    <w:p w14:paraId="17A2803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probability that two randomly chosen people in a given geographic area will be of a different race.</w:t>
      </w:r>
    </w:p>
    <w:p w14:paraId="78879AD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Single-Person Households</w:t>
      </w:r>
    </w:p>
    <w:p w14:paraId="054C185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households with only one member.</w:t>
      </w:r>
    </w:p>
    <w:p w14:paraId="386CF9B3"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Unemployment Rate</w:t>
      </w:r>
    </w:p>
    <w:p w14:paraId="47B41CEC"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people aged 16 years and older in the civilian labor force who are unemployed, divided by the total number of people aged 16 years and older in the civilian labor force.</w:t>
      </w:r>
    </w:p>
    <w:p w14:paraId="63664B95"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Housing Units</w:t>
      </w:r>
    </w:p>
    <w:p w14:paraId="666E7296"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A house, apartment, mobile home, group of rooms, or single room that is occupied (or is vacant and intended for occupancy) as separate living quarters.</w:t>
      </w:r>
    </w:p>
    <w:p w14:paraId="659FE2A8" w14:textId="77777777" w:rsidR="00A80972" w:rsidRDefault="00A80972" w:rsidP="00824E29">
      <w:pPr>
        <w:shd w:val="clear" w:color="auto" w:fill="FFFFFF"/>
        <w:spacing w:after="0" w:line="240" w:lineRule="auto"/>
        <w:textAlignment w:val="baseline"/>
        <w:rPr>
          <w:rFonts w:ascii="Georgia" w:eastAsia="Times New Roman" w:hAnsi="Georgia" w:cs="Times New Roman"/>
          <w:b/>
          <w:bCs/>
          <w:color w:val="222222"/>
          <w:sz w:val="21"/>
          <w:szCs w:val="21"/>
        </w:rPr>
      </w:pPr>
    </w:p>
    <w:p w14:paraId="10EE498C" w14:textId="77777777" w:rsidR="00A80972" w:rsidRDefault="00A80972" w:rsidP="00824E29">
      <w:pPr>
        <w:shd w:val="clear" w:color="auto" w:fill="FFFFFF"/>
        <w:spacing w:after="0" w:line="240" w:lineRule="auto"/>
        <w:textAlignment w:val="baseline"/>
        <w:rPr>
          <w:rFonts w:ascii="Georgia" w:eastAsia="Times New Roman" w:hAnsi="Georgia" w:cs="Times New Roman"/>
          <w:b/>
          <w:bCs/>
          <w:color w:val="222222"/>
          <w:sz w:val="21"/>
          <w:szCs w:val="21"/>
        </w:rPr>
      </w:pPr>
    </w:p>
    <w:p w14:paraId="09A9C748" w14:textId="41C72BF6"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lastRenderedPageBreak/>
        <w:t>Homeownership Rate</w:t>
      </w:r>
    </w:p>
    <w:p w14:paraId="514EDBA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owner-occupied units divided by the total number of occupied housing units.</w:t>
      </w:r>
    </w:p>
    <w:p w14:paraId="11DE332B"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Notices of foreclosure (all residential properties)</w:t>
      </w:r>
    </w:p>
    <w:p w14:paraId="145DA2F5"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total number of residential properties that had mortgage foreclosure actions initiated against them.</w:t>
      </w:r>
      <w:r w:rsidRPr="00824E29">
        <w:rPr>
          <w:rFonts w:ascii="Times New Roman" w:eastAsia="Times New Roman" w:hAnsi="Times New Roman" w:cs="Times New Roman"/>
          <w:color w:val="222222"/>
          <w:sz w:val="21"/>
          <w:szCs w:val="21"/>
        </w:rPr>
        <w:t>​</w:t>
      </w:r>
    </w:p>
    <w:p w14:paraId="35C299D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Public Housing (properties/units)</w:t>
      </w:r>
    </w:p>
    <w:p w14:paraId="059494F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Total number of public housing properties/units in properties (includes housing owned and operated by NYCHA even if the properties were not originally public housing).</w:t>
      </w:r>
    </w:p>
    <w:p w14:paraId="793AD99A"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Refinance Loan Rate (per 1,000 properties)</w:t>
      </w:r>
    </w:p>
    <w:p w14:paraId="61BAD35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refinance loans for owner-occupied 1-4 family buildings, condominiums, and cooperative apartments divided by the total number of 1-4 family buildings, condominiums, and cooperative apartments in the given geographic area.</w:t>
      </w:r>
    </w:p>
    <w:p w14:paraId="6266770C"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Rental Vacancy Rate</w:t>
      </w:r>
    </w:p>
    <w:p w14:paraId="0FF1FDE6"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vacant, habitable, for-rent units divided by the number of renter-occupied units plus vacant, habitable, for-rent units.</w:t>
      </w:r>
    </w:p>
    <w:p w14:paraId="6186695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Total number of subsidized properties</w:t>
      </w:r>
    </w:p>
    <w:p w14:paraId="7C84116F"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Total number of subsidized properties (includes federal programs, Mitchell-Lama, NYC Housing Production Programs and Zoning Incentives or Requirements, and New York State Property Tax Incentives, except 421-a and J-51).</w:t>
      </w:r>
    </w:p>
    <w:p w14:paraId="112678B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 Density (1,000 persons per square mile)</w:t>
      </w:r>
    </w:p>
    <w:p w14:paraId="0BF1BF1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geographic area’s population divided by its land area.</w:t>
      </w:r>
    </w:p>
    <w:p w14:paraId="7EDA0B32"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Units Authorized by New Residential Building Permits</w:t>
      </w:r>
    </w:p>
    <w:p w14:paraId="0DEC744E"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units authorized by new residential building permits as derived from the building permit and jobs reports of the Department of Buildings.</w:t>
      </w:r>
    </w:p>
    <w:p w14:paraId="31C73CBB"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Units Issued New Certificates of Occupancy</w:t>
      </w:r>
    </w:p>
    <w:p w14:paraId="4371A8D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residential units in buildings issued new certificates of occupancy by the Department of Buildings each year.</w:t>
      </w:r>
    </w:p>
    <w:p w14:paraId="3070059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Car-Free Commute (% of commuters)</w:t>
      </w:r>
    </w:p>
    <w:p w14:paraId="54933703"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workers who commute primarily by foot, bicycle, or public transportation, as a share of all workers over the age of 16 who do not work at home.</w:t>
      </w:r>
    </w:p>
    <w:p w14:paraId="2C7AE24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Mean Travel Time to Work (minutes)</w:t>
      </w:r>
    </w:p>
    <w:p w14:paraId="0148AF0B"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mean commute time in minutes for commuters residing in the geographic area.</w:t>
      </w:r>
    </w:p>
    <w:p w14:paraId="2511316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Residential Units within ¼ Mile of a Park</w:t>
      </w:r>
    </w:p>
    <w:p w14:paraId="1FA12219"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residential units that are within a ¼ mile of a park.</w:t>
      </w:r>
    </w:p>
    <w:p w14:paraId="24AA75F8" w14:textId="77777777" w:rsidR="00A80972" w:rsidRDefault="00A80972" w:rsidP="00824E29">
      <w:pPr>
        <w:shd w:val="clear" w:color="auto" w:fill="FFFFFF"/>
        <w:spacing w:after="0" w:line="240" w:lineRule="auto"/>
        <w:textAlignment w:val="baseline"/>
        <w:rPr>
          <w:rFonts w:ascii="Georgia" w:eastAsia="Times New Roman" w:hAnsi="Georgia" w:cs="Times New Roman"/>
          <w:b/>
          <w:bCs/>
          <w:color w:val="222222"/>
          <w:sz w:val="21"/>
          <w:szCs w:val="21"/>
        </w:rPr>
      </w:pPr>
    </w:p>
    <w:p w14:paraId="2EB218AC" w14:textId="208836C9"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lastRenderedPageBreak/>
        <w:t>Residential Units within ½ Mile of a Subway/Rail Entrance</w:t>
      </w:r>
    </w:p>
    <w:p w14:paraId="016947FE"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residential units that are within a ½ mile walk of a station entrance for the New York City Subway, Long Island Rail Road, PATH, Amtrak, Metro-North Railroad, or Staten Island Railway.</w:t>
      </w:r>
    </w:p>
    <w:p w14:paraId="791D966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Serious Crime Rate (per 1,000 residents)</w:t>
      </w:r>
    </w:p>
    <w:p w14:paraId="7F211DAD"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serious crimes, those classified as a major felony as defined by the New York City Police Department, committed in a given geographic area per 1,000 residents. At the city and borough levels, we report separate rates for serious property and violent crimes. Serious property crimes include most types of burglary, larceny, and motor vehicle theft. Serious violent crime includes most types of assault, murder (including nonnegligent manslaughter), rape, and robbery.</w:t>
      </w:r>
      <w:r w:rsidRPr="00824E29">
        <w:rPr>
          <w:rFonts w:ascii="Georgia" w:eastAsia="Times New Roman" w:hAnsi="Georgia" w:cs="Times New Roman"/>
          <w:color w:val="222222"/>
          <w:sz w:val="21"/>
          <w:szCs w:val="21"/>
        </w:rPr>
        <w:br/>
        <w:t>For community district rates, we aggregating crime rates we first calculate the crime rate for each precinct. If a community district is entirely within one precinct, then that rate is directly used for the community district. If a community district contains portions of more than one precinct, we weight the crime rate from each precinct based on the share of all housing units within the community district that are in that particular precinct.</w:t>
      </w:r>
    </w:p>
    <w:p w14:paraId="0258D97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Median Rent (all renters, recent movers, studios and one-bedrooms, two- and three- bedrooms)</w:t>
      </w:r>
    </w:p>
    <w:p w14:paraId="259B721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median gross rent which includes the amount agreed to or specified in the lease regardless of whether furnishings, utilities, or services are included; and estimated monthly electricity and heating fuel costs paid by the renter.</w:t>
      </w:r>
    </w:p>
    <w:p w14:paraId="4C63AF9D"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Median Rent (asking)</w:t>
      </w:r>
    </w:p>
    <w:p w14:paraId="275503B0"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median rent that landlords advertise for housing units available for rent.</w:t>
      </w:r>
    </w:p>
    <w:p w14:paraId="7915D58D"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Median Rent Burden</w:t>
      </w:r>
    </w:p>
    <w:p w14:paraId="55AE8BA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median percentage of gross, pre-tax income spent on gross rent by NYC renter households.</w:t>
      </w:r>
    </w:p>
    <w:p w14:paraId="6DB21932"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Moderately Rent Burdened Households (% of all, low-income, and moderate-income households)</w:t>
      </w:r>
    </w:p>
    <w:p w14:paraId="647D917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renter households whose gross rent made up at least 30 percent of their monthly pre-tax income.</w:t>
      </w:r>
    </w:p>
    <w:p w14:paraId="1931ECC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Public housing (% of rental units)</w:t>
      </w:r>
    </w:p>
    <w:p w14:paraId="2B5674E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all rental units located in New York City Housing Authority public housing.</w:t>
      </w:r>
      <w:r w:rsidRPr="00824E29">
        <w:rPr>
          <w:rFonts w:ascii="Times New Roman" w:eastAsia="Times New Roman" w:hAnsi="Times New Roman" w:cs="Times New Roman"/>
          <w:color w:val="222222"/>
          <w:sz w:val="21"/>
          <w:szCs w:val="21"/>
        </w:rPr>
        <w:t>​</w:t>
      </w:r>
    </w:p>
    <w:p w14:paraId="02B84060"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Rental Units Affordable at 30%, 80%, 120% of AMI (% of recently available units)</w:t>
      </w:r>
    </w:p>
    <w:p w14:paraId="718A46E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occupied, recently available rental units that are affordable to appropriately sized households at various income levels.</w:t>
      </w:r>
    </w:p>
    <w:p w14:paraId="265A61D1"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Severely Rent Burdened Households (% of all, low-income, and moderate-income households)</w:t>
      </w:r>
    </w:p>
    <w:p w14:paraId="7467483E"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renter households whose gross rent made up at least 50 percent of their monthly pre-tax income.</w:t>
      </w:r>
    </w:p>
    <w:p w14:paraId="176417AD" w14:textId="394B7101" w:rsidR="00824E29" w:rsidRDefault="00824E29"/>
    <w:p w14:paraId="3460DD98"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lastRenderedPageBreak/>
        <w:t xml:space="preserve">Sources: </w:t>
      </w:r>
    </w:p>
    <w:p w14:paraId="3874D80D"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United States Census</w:t>
      </w:r>
    </w:p>
    <w:p w14:paraId="1B51CED7"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American Community Survey</w:t>
      </w:r>
    </w:p>
    <w:p w14:paraId="637B808F"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US Department of Housing and Urban Development Section 8/HOME Program Income Guidelines</w:t>
      </w:r>
    </w:p>
    <w:p w14:paraId="557C4B3C"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NYU Furman Center</w:t>
      </w:r>
    </w:p>
    <w:p w14:paraId="1E3AFE38" w14:textId="5A0A3ABD" w:rsidR="00824E29"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 xml:space="preserve"> New York State Division of Criminal Justice Services</w:t>
      </w:r>
    </w:p>
    <w:p w14:paraId="1958AEEB" w14:textId="77777777"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Parks and Recreation</w:t>
      </w:r>
    </w:p>
    <w:p w14:paraId="07729D56" w14:textId="590E6DFB"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State Office of Parks, Recreation, and Historic Preservation</w:t>
      </w:r>
    </w:p>
    <w:p w14:paraId="199E1DD0" w14:textId="2723617E"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Housing Preservation and Development</w:t>
      </w:r>
    </w:p>
    <w:p w14:paraId="714A4AC1" w14:textId="530A9BF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PLUTO</w:t>
      </w:r>
    </w:p>
    <w:p w14:paraId="5EB7D9ED" w14:textId="18F5931A"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Transportation</w:t>
      </w:r>
    </w:p>
    <w:p w14:paraId="20190F0F" w14:textId="44726DEA"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City Planning</w:t>
      </w:r>
    </w:p>
    <w:p w14:paraId="74EF8318" w14:textId="2B4E8804"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 New York City Police Department</w:t>
      </w:r>
    </w:p>
    <w:p w14:paraId="7EC4B872" w14:textId="4D4A4EC2"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Education</w:t>
      </w:r>
    </w:p>
    <w:p w14:paraId="36BC3428" w14:textId="38D5CEF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Landmarks Preservation Commission</w:t>
      </w:r>
    </w:p>
    <w:p w14:paraId="7D71D13D" w14:textId="03AEDB7F"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 Federal Emergency Management Agency</w:t>
      </w:r>
    </w:p>
    <w:p w14:paraId="66275912" w14:textId="2BF71F62"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 New York City Department of Buildings</w:t>
      </w:r>
    </w:p>
    <w:p w14:paraId="427BCFE3" w14:textId="62A488DF"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Finance</w:t>
      </w:r>
    </w:p>
    <w:p w14:paraId="5D23CD4B" w14:textId="4E3D180F" w:rsidR="004E3326" w:rsidRDefault="004E3326">
      <w:pPr>
        <w:rPr>
          <w:rStyle w:val="Emphasis"/>
          <w:rFonts w:ascii="Georgia" w:hAnsi="Georgia"/>
          <w:color w:val="222222"/>
          <w:sz w:val="21"/>
          <w:szCs w:val="21"/>
          <w:shd w:val="clear" w:color="auto" w:fill="FFFFFF"/>
        </w:rPr>
      </w:pPr>
      <w:proofErr w:type="spellStart"/>
      <w:r>
        <w:rPr>
          <w:rStyle w:val="Emphasis"/>
          <w:rFonts w:ascii="Georgia" w:hAnsi="Georgia"/>
          <w:color w:val="222222"/>
          <w:sz w:val="21"/>
          <w:szCs w:val="21"/>
          <w:shd w:val="clear" w:color="auto" w:fill="FFFFFF"/>
        </w:rPr>
        <w:t>CoreData.nyc</w:t>
      </w:r>
      <w:proofErr w:type="spellEnd"/>
    </w:p>
    <w:p w14:paraId="18D0E4D9" w14:textId="135FE6C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U.S. Department of Housing and Urban Development</w:t>
      </w:r>
    </w:p>
    <w:p w14:paraId="61254F7C" w14:textId="7A23FE67"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Home Mortgage Disclosure Act</w:t>
      </w:r>
    </w:p>
    <w:p w14:paraId="51E3B9D1" w14:textId="03114EA5"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State Division of Criminal Justice Services</w:t>
      </w:r>
    </w:p>
    <w:p w14:paraId="4A02BB06" w14:textId="251AD8C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Public Data Corporation</w:t>
      </w:r>
    </w:p>
    <w:p w14:paraId="11FB3212" w14:textId="4C65E339"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Finance Final Tax Roll File</w:t>
      </w:r>
    </w:p>
    <w:p w14:paraId="7BCAE4FC" w14:textId="37421200"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Automated City Register Information System (ACRIS)</w:t>
      </w:r>
    </w:p>
    <w:p w14:paraId="7CB94BEF" w14:textId="7157A031"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Integrated Public Use Microdata Series</w:t>
      </w:r>
    </w:p>
    <w:p w14:paraId="49A95E3A" w14:textId="59179A2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Housing Authority</w:t>
      </w:r>
    </w:p>
    <w:p w14:paraId="7981E32B" w14:textId="77777777" w:rsidR="004E3326" w:rsidRDefault="004E3326">
      <w:pPr>
        <w:rPr>
          <w:rStyle w:val="Emphasis"/>
          <w:rFonts w:ascii="Georgia" w:hAnsi="Georgia"/>
          <w:color w:val="222222"/>
          <w:sz w:val="21"/>
          <w:szCs w:val="21"/>
          <w:shd w:val="clear" w:color="auto" w:fill="FFFFFF"/>
        </w:rPr>
      </w:pPr>
    </w:p>
    <w:p w14:paraId="2F209238" w14:textId="77777777" w:rsidR="004E3326" w:rsidRDefault="004E3326">
      <w:pPr>
        <w:rPr>
          <w:rStyle w:val="Emphasis"/>
          <w:rFonts w:ascii="Georgia" w:hAnsi="Georgia"/>
          <w:color w:val="222222"/>
          <w:sz w:val="21"/>
          <w:szCs w:val="21"/>
          <w:shd w:val="clear" w:color="auto" w:fill="FFFFFF"/>
        </w:rPr>
      </w:pPr>
    </w:p>
    <w:p w14:paraId="3A00342C" w14:textId="77777777" w:rsidR="004E3326" w:rsidRDefault="004E3326"/>
    <w:sectPr w:rsidR="004E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29"/>
    <w:rsid w:val="003E7B2E"/>
    <w:rsid w:val="004E3326"/>
    <w:rsid w:val="00824E29"/>
    <w:rsid w:val="00A8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7928"/>
  <w15:chartTrackingRefBased/>
  <w15:docId w15:val="{578408FA-8BA8-4460-B9D0-EBD88BDD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E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4E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4082">
      <w:bodyDiv w:val="1"/>
      <w:marLeft w:val="0"/>
      <w:marRight w:val="0"/>
      <w:marTop w:val="0"/>
      <w:marBottom w:val="0"/>
      <w:divBdr>
        <w:top w:val="none" w:sz="0" w:space="0" w:color="auto"/>
        <w:left w:val="none" w:sz="0" w:space="0" w:color="auto"/>
        <w:bottom w:val="none" w:sz="0" w:space="0" w:color="auto"/>
        <w:right w:val="none" w:sz="0" w:space="0" w:color="auto"/>
      </w:divBdr>
    </w:div>
    <w:div w:id="176161502">
      <w:bodyDiv w:val="1"/>
      <w:marLeft w:val="0"/>
      <w:marRight w:val="0"/>
      <w:marTop w:val="0"/>
      <w:marBottom w:val="0"/>
      <w:divBdr>
        <w:top w:val="none" w:sz="0" w:space="0" w:color="auto"/>
        <w:left w:val="none" w:sz="0" w:space="0" w:color="auto"/>
        <w:bottom w:val="none" w:sz="0" w:space="0" w:color="auto"/>
        <w:right w:val="none" w:sz="0" w:space="0" w:color="auto"/>
      </w:divBdr>
    </w:div>
    <w:div w:id="195625600">
      <w:bodyDiv w:val="1"/>
      <w:marLeft w:val="0"/>
      <w:marRight w:val="0"/>
      <w:marTop w:val="0"/>
      <w:marBottom w:val="0"/>
      <w:divBdr>
        <w:top w:val="none" w:sz="0" w:space="0" w:color="auto"/>
        <w:left w:val="none" w:sz="0" w:space="0" w:color="auto"/>
        <w:bottom w:val="none" w:sz="0" w:space="0" w:color="auto"/>
        <w:right w:val="none" w:sz="0" w:space="0" w:color="auto"/>
      </w:divBdr>
    </w:div>
    <w:div w:id="235628779">
      <w:bodyDiv w:val="1"/>
      <w:marLeft w:val="0"/>
      <w:marRight w:val="0"/>
      <w:marTop w:val="0"/>
      <w:marBottom w:val="0"/>
      <w:divBdr>
        <w:top w:val="none" w:sz="0" w:space="0" w:color="auto"/>
        <w:left w:val="none" w:sz="0" w:space="0" w:color="auto"/>
        <w:bottom w:val="none" w:sz="0" w:space="0" w:color="auto"/>
        <w:right w:val="none" w:sz="0" w:space="0" w:color="auto"/>
      </w:divBdr>
    </w:div>
    <w:div w:id="378632042">
      <w:bodyDiv w:val="1"/>
      <w:marLeft w:val="0"/>
      <w:marRight w:val="0"/>
      <w:marTop w:val="0"/>
      <w:marBottom w:val="0"/>
      <w:divBdr>
        <w:top w:val="none" w:sz="0" w:space="0" w:color="auto"/>
        <w:left w:val="none" w:sz="0" w:space="0" w:color="auto"/>
        <w:bottom w:val="none" w:sz="0" w:space="0" w:color="auto"/>
        <w:right w:val="none" w:sz="0" w:space="0" w:color="auto"/>
      </w:divBdr>
    </w:div>
    <w:div w:id="480511332">
      <w:bodyDiv w:val="1"/>
      <w:marLeft w:val="0"/>
      <w:marRight w:val="0"/>
      <w:marTop w:val="0"/>
      <w:marBottom w:val="0"/>
      <w:divBdr>
        <w:top w:val="none" w:sz="0" w:space="0" w:color="auto"/>
        <w:left w:val="none" w:sz="0" w:space="0" w:color="auto"/>
        <w:bottom w:val="none" w:sz="0" w:space="0" w:color="auto"/>
        <w:right w:val="none" w:sz="0" w:space="0" w:color="auto"/>
      </w:divBdr>
    </w:div>
    <w:div w:id="521627822">
      <w:bodyDiv w:val="1"/>
      <w:marLeft w:val="0"/>
      <w:marRight w:val="0"/>
      <w:marTop w:val="0"/>
      <w:marBottom w:val="0"/>
      <w:divBdr>
        <w:top w:val="none" w:sz="0" w:space="0" w:color="auto"/>
        <w:left w:val="none" w:sz="0" w:space="0" w:color="auto"/>
        <w:bottom w:val="none" w:sz="0" w:space="0" w:color="auto"/>
        <w:right w:val="none" w:sz="0" w:space="0" w:color="auto"/>
      </w:divBdr>
    </w:div>
    <w:div w:id="532546278">
      <w:bodyDiv w:val="1"/>
      <w:marLeft w:val="0"/>
      <w:marRight w:val="0"/>
      <w:marTop w:val="0"/>
      <w:marBottom w:val="0"/>
      <w:divBdr>
        <w:top w:val="none" w:sz="0" w:space="0" w:color="auto"/>
        <w:left w:val="none" w:sz="0" w:space="0" w:color="auto"/>
        <w:bottom w:val="none" w:sz="0" w:space="0" w:color="auto"/>
        <w:right w:val="none" w:sz="0" w:space="0" w:color="auto"/>
      </w:divBdr>
    </w:div>
    <w:div w:id="555091936">
      <w:bodyDiv w:val="1"/>
      <w:marLeft w:val="0"/>
      <w:marRight w:val="0"/>
      <w:marTop w:val="0"/>
      <w:marBottom w:val="0"/>
      <w:divBdr>
        <w:top w:val="none" w:sz="0" w:space="0" w:color="auto"/>
        <w:left w:val="none" w:sz="0" w:space="0" w:color="auto"/>
        <w:bottom w:val="none" w:sz="0" w:space="0" w:color="auto"/>
        <w:right w:val="none" w:sz="0" w:space="0" w:color="auto"/>
      </w:divBdr>
    </w:div>
    <w:div w:id="693847255">
      <w:bodyDiv w:val="1"/>
      <w:marLeft w:val="0"/>
      <w:marRight w:val="0"/>
      <w:marTop w:val="0"/>
      <w:marBottom w:val="0"/>
      <w:divBdr>
        <w:top w:val="none" w:sz="0" w:space="0" w:color="auto"/>
        <w:left w:val="none" w:sz="0" w:space="0" w:color="auto"/>
        <w:bottom w:val="none" w:sz="0" w:space="0" w:color="auto"/>
        <w:right w:val="none" w:sz="0" w:space="0" w:color="auto"/>
      </w:divBdr>
    </w:div>
    <w:div w:id="743064069">
      <w:bodyDiv w:val="1"/>
      <w:marLeft w:val="0"/>
      <w:marRight w:val="0"/>
      <w:marTop w:val="0"/>
      <w:marBottom w:val="0"/>
      <w:divBdr>
        <w:top w:val="none" w:sz="0" w:space="0" w:color="auto"/>
        <w:left w:val="none" w:sz="0" w:space="0" w:color="auto"/>
        <w:bottom w:val="none" w:sz="0" w:space="0" w:color="auto"/>
        <w:right w:val="none" w:sz="0" w:space="0" w:color="auto"/>
      </w:divBdr>
    </w:div>
    <w:div w:id="761149281">
      <w:bodyDiv w:val="1"/>
      <w:marLeft w:val="0"/>
      <w:marRight w:val="0"/>
      <w:marTop w:val="0"/>
      <w:marBottom w:val="0"/>
      <w:divBdr>
        <w:top w:val="none" w:sz="0" w:space="0" w:color="auto"/>
        <w:left w:val="none" w:sz="0" w:space="0" w:color="auto"/>
        <w:bottom w:val="none" w:sz="0" w:space="0" w:color="auto"/>
        <w:right w:val="none" w:sz="0" w:space="0" w:color="auto"/>
      </w:divBdr>
    </w:div>
    <w:div w:id="807479638">
      <w:bodyDiv w:val="1"/>
      <w:marLeft w:val="0"/>
      <w:marRight w:val="0"/>
      <w:marTop w:val="0"/>
      <w:marBottom w:val="0"/>
      <w:divBdr>
        <w:top w:val="none" w:sz="0" w:space="0" w:color="auto"/>
        <w:left w:val="none" w:sz="0" w:space="0" w:color="auto"/>
        <w:bottom w:val="none" w:sz="0" w:space="0" w:color="auto"/>
        <w:right w:val="none" w:sz="0" w:space="0" w:color="auto"/>
      </w:divBdr>
    </w:div>
    <w:div w:id="840968176">
      <w:bodyDiv w:val="1"/>
      <w:marLeft w:val="0"/>
      <w:marRight w:val="0"/>
      <w:marTop w:val="0"/>
      <w:marBottom w:val="0"/>
      <w:divBdr>
        <w:top w:val="none" w:sz="0" w:space="0" w:color="auto"/>
        <w:left w:val="none" w:sz="0" w:space="0" w:color="auto"/>
        <w:bottom w:val="none" w:sz="0" w:space="0" w:color="auto"/>
        <w:right w:val="none" w:sz="0" w:space="0" w:color="auto"/>
      </w:divBdr>
    </w:div>
    <w:div w:id="853691744">
      <w:bodyDiv w:val="1"/>
      <w:marLeft w:val="0"/>
      <w:marRight w:val="0"/>
      <w:marTop w:val="0"/>
      <w:marBottom w:val="0"/>
      <w:divBdr>
        <w:top w:val="none" w:sz="0" w:space="0" w:color="auto"/>
        <w:left w:val="none" w:sz="0" w:space="0" w:color="auto"/>
        <w:bottom w:val="none" w:sz="0" w:space="0" w:color="auto"/>
        <w:right w:val="none" w:sz="0" w:space="0" w:color="auto"/>
      </w:divBdr>
    </w:div>
    <w:div w:id="884104501">
      <w:bodyDiv w:val="1"/>
      <w:marLeft w:val="0"/>
      <w:marRight w:val="0"/>
      <w:marTop w:val="0"/>
      <w:marBottom w:val="0"/>
      <w:divBdr>
        <w:top w:val="none" w:sz="0" w:space="0" w:color="auto"/>
        <w:left w:val="none" w:sz="0" w:space="0" w:color="auto"/>
        <w:bottom w:val="none" w:sz="0" w:space="0" w:color="auto"/>
        <w:right w:val="none" w:sz="0" w:space="0" w:color="auto"/>
      </w:divBdr>
    </w:div>
    <w:div w:id="935597968">
      <w:bodyDiv w:val="1"/>
      <w:marLeft w:val="0"/>
      <w:marRight w:val="0"/>
      <w:marTop w:val="0"/>
      <w:marBottom w:val="0"/>
      <w:divBdr>
        <w:top w:val="none" w:sz="0" w:space="0" w:color="auto"/>
        <w:left w:val="none" w:sz="0" w:space="0" w:color="auto"/>
        <w:bottom w:val="none" w:sz="0" w:space="0" w:color="auto"/>
        <w:right w:val="none" w:sz="0" w:space="0" w:color="auto"/>
      </w:divBdr>
    </w:div>
    <w:div w:id="997542527">
      <w:bodyDiv w:val="1"/>
      <w:marLeft w:val="0"/>
      <w:marRight w:val="0"/>
      <w:marTop w:val="0"/>
      <w:marBottom w:val="0"/>
      <w:divBdr>
        <w:top w:val="none" w:sz="0" w:space="0" w:color="auto"/>
        <w:left w:val="none" w:sz="0" w:space="0" w:color="auto"/>
        <w:bottom w:val="none" w:sz="0" w:space="0" w:color="auto"/>
        <w:right w:val="none" w:sz="0" w:space="0" w:color="auto"/>
      </w:divBdr>
    </w:div>
    <w:div w:id="1033849313">
      <w:bodyDiv w:val="1"/>
      <w:marLeft w:val="0"/>
      <w:marRight w:val="0"/>
      <w:marTop w:val="0"/>
      <w:marBottom w:val="0"/>
      <w:divBdr>
        <w:top w:val="none" w:sz="0" w:space="0" w:color="auto"/>
        <w:left w:val="none" w:sz="0" w:space="0" w:color="auto"/>
        <w:bottom w:val="none" w:sz="0" w:space="0" w:color="auto"/>
        <w:right w:val="none" w:sz="0" w:space="0" w:color="auto"/>
      </w:divBdr>
    </w:div>
    <w:div w:id="1037895807">
      <w:bodyDiv w:val="1"/>
      <w:marLeft w:val="0"/>
      <w:marRight w:val="0"/>
      <w:marTop w:val="0"/>
      <w:marBottom w:val="0"/>
      <w:divBdr>
        <w:top w:val="none" w:sz="0" w:space="0" w:color="auto"/>
        <w:left w:val="none" w:sz="0" w:space="0" w:color="auto"/>
        <w:bottom w:val="none" w:sz="0" w:space="0" w:color="auto"/>
        <w:right w:val="none" w:sz="0" w:space="0" w:color="auto"/>
      </w:divBdr>
    </w:div>
    <w:div w:id="1045983871">
      <w:bodyDiv w:val="1"/>
      <w:marLeft w:val="0"/>
      <w:marRight w:val="0"/>
      <w:marTop w:val="0"/>
      <w:marBottom w:val="0"/>
      <w:divBdr>
        <w:top w:val="none" w:sz="0" w:space="0" w:color="auto"/>
        <w:left w:val="none" w:sz="0" w:space="0" w:color="auto"/>
        <w:bottom w:val="none" w:sz="0" w:space="0" w:color="auto"/>
        <w:right w:val="none" w:sz="0" w:space="0" w:color="auto"/>
      </w:divBdr>
    </w:div>
    <w:div w:id="1159419578">
      <w:bodyDiv w:val="1"/>
      <w:marLeft w:val="0"/>
      <w:marRight w:val="0"/>
      <w:marTop w:val="0"/>
      <w:marBottom w:val="0"/>
      <w:divBdr>
        <w:top w:val="none" w:sz="0" w:space="0" w:color="auto"/>
        <w:left w:val="none" w:sz="0" w:space="0" w:color="auto"/>
        <w:bottom w:val="none" w:sz="0" w:space="0" w:color="auto"/>
        <w:right w:val="none" w:sz="0" w:space="0" w:color="auto"/>
      </w:divBdr>
    </w:div>
    <w:div w:id="1192038929">
      <w:bodyDiv w:val="1"/>
      <w:marLeft w:val="0"/>
      <w:marRight w:val="0"/>
      <w:marTop w:val="0"/>
      <w:marBottom w:val="0"/>
      <w:divBdr>
        <w:top w:val="none" w:sz="0" w:space="0" w:color="auto"/>
        <w:left w:val="none" w:sz="0" w:space="0" w:color="auto"/>
        <w:bottom w:val="none" w:sz="0" w:space="0" w:color="auto"/>
        <w:right w:val="none" w:sz="0" w:space="0" w:color="auto"/>
      </w:divBdr>
    </w:div>
    <w:div w:id="1194685265">
      <w:bodyDiv w:val="1"/>
      <w:marLeft w:val="0"/>
      <w:marRight w:val="0"/>
      <w:marTop w:val="0"/>
      <w:marBottom w:val="0"/>
      <w:divBdr>
        <w:top w:val="none" w:sz="0" w:space="0" w:color="auto"/>
        <w:left w:val="none" w:sz="0" w:space="0" w:color="auto"/>
        <w:bottom w:val="none" w:sz="0" w:space="0" w:color="auto"/>
        <w:right w:val="none" w:sz="0" w:space="0" w:color="auto"/>
      </w:divBdr>
    </w:div>
    <w:div w:id="1198928009">
      <w:bodyDiv w:val="1"/>
      <w:marLeft w:val="0"/>
      <w:marRight w:val="0"/>
      <w:marTop w:val="0"/>
      <w:marBottom w:val="0"/>
      <w:divBdr>
        <w:top w:val="none" w:sz="0" w:space="0" w:color="auto"/>
        <w:left w:val="none" w:sz="0" w:space="0" w:color="auto"/>
        <w:bottom w:val="none" w:sz="0" w:space="0" w:color="auto"/>
        <w:right w:val="none" w:sz="0" w:space="0" w:color="auto"/>
      </w:divBdr>
    </w:div>
    <w:div w:id="1264875218">
      <w:bodyDiv w:val="1"/>
      <w:marLeft w:val="0"/>
      <w:marRight w:val="0"/>
      <w:marTop w:val="0"/>
      <w:marBottom w:val="0"/>
      <w:divBdr>
        <w:top w:val="none" w:sz="0" w:space="0" w:color="auto"/>
        <w:left w:val="none" w:sz="0" w:space="0" w:color="auto"/>
        <w:bottom w:val="none" w:sz="0" w:space="0" w:color="auto"/>
        <w:right w:val="none" w:sz="0" w:space="0" w:color="auto"/>
      </w:divBdr>
    </w:div>
    <w:div w:id="1361663363">
      <w:bodyDiv w:val="1"/>
      <w:marLeft w:val="0"/>
      <w:marRight w:val="0"/>
      <w:marTop w:val="0"/>
      <w:marBottom w:val="0"/>
      <w:divBdr>
        <w:top w:val="none" w:sz="0" w:space="0" w:color="auto"/>
        <w:left w:val="none" w:sz="0" w:space="0" w:color="auto"/>
        <w:bottom w:val="none" w:sz="0" w:space="0" w:color="auto"/>
        <w:right w:val="none" w:sz="0" w:space="0" w:color="auto"/>
      </w:divBdr>
    </w:div>
    <w:div w:id="1401059492">
      <w:bodyDiv w:val="1"/>
      <w:marLeft w:val="0"/>
      <w:marRight w:val="0"/>
      <w:marTop w:val="0"/>
      <w:marBottom w:val="0"/>
      <w:divBdr>
        <w:top w:val="none" w:sz="0" w:space="0" w:color="auto"/>
        <w:left w:val="none" w:sz="0" w:space="0" w:color="auto"/>
        <w:bottom w:val="none" w:sz="0" w:space="0" w:color="auto"/>
        <w:right w:val="none" w:sz="0" w:space="0" w:color="auto"/>
      </w:divBdr>
    </w:div>
    <w:div w:id="1536114283">
      <w:bodyDiv w:val="1"/>
      <w:marLeft w:val="0"/>
      <w:marRight w:val="0"/>
      <w:marTop w:val="0"/>
      <w:marBottom w:val="0"/>
      <w:divBdr>
        <w:top w:val="none" w:sz="0" w:space="0" w:color="auto"/>
        <w:left w:val="none" w:sz="0" w:space="0" w:color="auto"/>
        <w:bottom w:val="none" w:sz="0" w:space="0" w:color="auto"/>
        <w:right w:val="none" w:sz="0" w:space="0" w:color="auto"/>
      </w:divBdr>
    </w:div>
    <w:div w:id="1555116037">
      <w:bodyDiv w:val="1"/>
      <w:marLeft w:val="0"/>
      <w:marRight w:val="0"/>
      <w:marTop w:val="0"/>
      <w:marBottom w:val="0"/>
      <w:divBdr>
        <w:top w:val="none" w:sz="0" w:space="0" w:color="auto"/>
        <w:left w:val="none" w:sz="0" w:space="0" w:color="auto"/>
        <w:bottom w:val="none" w:sz="0" w:space="0" w:color="auto"/>
        <w:right w:val="none" w:sz="0" w:space="0" w:color="auto"/>
      </w:divBdr>
    </w:div>
    <w:div w:id="1599094510">
      <w:bodyDiv w:val="1"/>
      <w:marLeft w:val="0"/>
      <w:marRight w:val="0"/>
      <w:marTop w:val="0"/>
      <w:marBottom w:val="0"/>
      <w:divBdr>
        <w:top w:val="none" w:sz="0" w:space="0" w:color="auto"/>
        <w:left w:val="none" w:sz="0" w:space="0" w:color="auto"/>
        <w:bottom w:val="none" w:sz="0" w:space="0" w:color="auto"/>
        <w:right w:val="none" w:sz="0" w:space="0" w:color="auto"/>
      </w:divBdr>
    </w:div>
    <w:div w:id="1636907661">
      <w:bodyDiv w:val="1"/>
      <w:marLeft w:val="0"/>
      <w:marRight w:val="0"/>
      <w:marTop w:val="0"/>
      <w:marBottom w:val="0"/>
      <w:divBdr>
        <w:top w:val="none" w:sz="0" w:space="0" w:color="auto"/>
        <w:left w:val="none" w:sz="0" w:space="0" w:color="auto"/>
        <w:bottom w:val="none" w:sz="0" w:space="0" w:color="auto"/>
        <w:right w:val="none" w:sz="0" w:space="0" w:color="auto"/>
      </w:divBdr>
    </w:div>
    <w:div w:id="1647005537">
      <w:bodyDiv w:val="1"/>
      <w:marLeft w:val="0"/>
      <w:marRight w:val="0"/>
      <w:marTop w:val="0"/>
      <w:marBottom w:val="0"/>
      <w:divBdr>
        <w:top w:val="none" w:sz="0" w:space="0" w:color="auto"/>
        <w:left w:val="none" w:sz="0" w:space="0" w:color="auto"/>
        <w:bottom w:val="none" w:sz="0" w:space="0" w:color="auto"/>
        <w:right w:val="none" w:sz="0" w:space="0" w:color="auto"/>
      </w:divBdr>
    </w:div>
    <w:div w:id="1693997426">
      <w:bodyDiv w:val="1"/>
      <w:marLeft w:val="0"/>
      <w:marRight w:val="0"/>
      <w:marTop w:val="0"/>
      <w:marBottom w:val="0"/>
      <w:divBdr>
        <w:top w:val="none" w:sz="0" w:space="0" w:color="auto"/>
        <w:left w:val="none" w:sz="0" w:space="0" w:color="auto"/>
        <w:bottom w:val="none" w:sz="0" w:space="0" w:color="auto"/>
        <w:right w:val="none" w:sz="0" w:space="0" w:color="auto"/>
      </w:divBdr>
    </w:div>
    <w:div w:id="1720204359">
      <w:bodyDiv w:val="1"/>
      <w:marLeft w:val="0"/>
      <w:marRight w:val="0"/>
      <w:marTop w:val="0"/>
      <w:marBottom w:val="0"/>
      <w:divBdr>
        <w:top w:val="none" w:sz="0" w:space="0" w:color="auto"/>
        <w:left w:val="none" w:sz="0" w:space="0" w:color="auto"/>
        <w:bottom w:val="none" w:sz="0" w:space="0" w:color="auto"/>
        <w:right w:val="none" w:sz="0" w:space="0" w:color="auto"/>
      </w:divBdr>
    </w:div>
    <w:div w:id="1739666474">
      <w:bodyDiv w:val="1"/>
      <w:marLeft w:val="0"/>
      <w:marRight w:val="0"/>
      <w:marTop w:val="0"/>
      <w:marBottom w:val="0"/>
      <w:divBdr>
        <w:top w:val="none" w:sz="0" w:space="0" w:color="auto"/>
        <w:left w:val="none" w:sz="0" w:space="0" w:color="auto"/>
        <w:bottom w:val="none" w:sz="0" w:space="0" w:color="auto"/>
        <w:right w:val="none" w:sz="0" w:space="0" w:color="auto"/>
      </w:divBdr>
    </w:div>
    <w:div w:id="1747680674">
      <w:bodyDiv w:val="1"/>
      <w:marLeft w:val="0"/>
      <w:marRight w:val="0"/>
      <w:marTop w:val="0"/>
      <w:marBottom w:val="0"/>
      <w:divBdr>
        <w:top w:val="none" w:sz="0" w:space="0" w:color="auto"/>
        <w:left w:val="none" w:sz="0" w:space="0" w:color="auto"/>
        <w:bottom w:val="none" w:sz="0" w:space="0" w:color="auto"/>
        <w:right w:val="none" w:sz="0" w:space="0" w:color="auto"/>
      </w:divBdr>
    </w:div>
    <w:div w:id="1766077573">
      <w:bodyDiv w:val="1"/>
      <w:marLeft w:val="0"/>
      <w:marRight w:val="0"/>
      <w:marTop w:val="0"/>
      <w:marBottom w:val="0"/>
      <w:divBdr>
        <w:top w:val="none" w:sz="0" w:space="0" w:color="auto"/>
        <w:left w:val="none" w:sz="0" w:space="0" w:color="auto"/>
        <w:bottom w:val="none" w:sz="0" w:space="0" w:color="auto"/>
        <w:right w:val="none" w:sz="0" w:space="0" w:color="auto"/>
      </w:divBdr>
    </w:div>
    <w:div w:id="1782601859">
      <w:bodyDiv w:val="1"/>
      <w:marLeft w:val="0"/>
      <w:marRight w:val="0"/>
      <w:marTop w:val="0"/>
      <w:marBottom w:val="0"/>
      <w:divBdr>
        <w:top w:val="none" w:sz="0" w:space="0" w:color="auto"/>
        <w:left w:val="none" w:sz="0" w:space="0" w:color="auto"/>
        <w:bottom w:val="none" w:sz="0" w:space="0" w:color="auto"/>
        <w:right w:val="none" w:sz="0" w:space="0" w:color="auto"/>
      </w:divBdr>
    </w:div>
    <w:div w:id="1852526162">
      <w:bodyDiv w:val="1"/>
      <w:marLeft w:val="0"/>
      <w:marRight w:val="0"/>
      <w:marTop w:val="0"/>
      <w:marBottom w:val="0"/>
      <w:divBdr>
        <w:top w:val="none" w:sz="0" w:space="0" w:color="auto"/>
        <w:left w:val="none" w:sz="0" w:space="0" w:color="auto"/>
        <w:bottom w:val="none" w:sz="0" w:space="0" w:color="auto"/>
        <w:right w:val="none" w:sz="0" w:space="0" w:color="auto"/>
      </w:divBdr>
    </w:div>
    <w:div w:id="1869834572">
      <w:bodyDiv w:val="1"/>
      <w:marLeft w:val="0"/>
      <w:marRight w:val="0"/>
      <w:marTop w:val="0"/>
      <w:marBottom w:val="0"/>
      <w:divBdr>
        <w:top w:val="none" w:sz="0" w:space="0" w:color="auto"/>
        <w:left w:val="none" w:sz="0" w:space="0" w:color="auto"/>
        <w:bottom w:val="none" w:sz="0" w:space="0" w:color="auto"/>
        <w:right w:val="none" w:sz="0" w:space="0" w:color="auto"/>
      </w:divBdr>
    </w:div>
    <w:div w:id="1886868061">
      <w:bodyDiv w:val="1"/>
      <w:marLeft w:val="0"/>
      <w:marRight w:val="0"/>
      <w:marTop w:val="0"/>
      <w:marBottom w:val="0"/>
      <w:divBdr>
        <w:top w:val="none" w:sz="0" w:space="0" w:color="auto"/>
        <w:left w:val="none" w:sz="0" w:space="0" w:color="auto"/>
        <w:bottom w:val="none" w:sz="0" w:space="0" w:color="auto"/>
        <w:right w:val="none" w:sz="0" w:space="0" w:color="auto"/>
      </w:divBdr>
    </w:div>
    <w:div w:id="1903976416">
      <w:bodyDiv w:val="1"/>
      <w:marLeft w:val="0"/>
      <w:marRight w:val="0"/>
      <w:marTop w:val="0"/>
      <w:marBottom w:val="0"/>
      <w:divBdr>
        <w:top w:val="none" w:sz="0" w:space="0" w:color="auto"/>
        <w:left w:val="none" w:sz="0" w:space="0" w:color="auto"/>
        <w:bottom w:val="none" w:sz="0" w:space="0" w:color="auto"/>
        <w:right w:val="none" w:sz="0" w:space="0" w:color="auto"/>
      </w:divBdr>
    </w:div>
    <w:div w:id="1939366580">
      <w:bodyDiv w:val="1"/>
      <w:marLeft w:val="0"/>
      <w:marRight w:val="0"/>
      <w:marTop w:val="0"/>
      <w:marBottom w:val="0"/>
      <w:divBdr>
        <w:top w:val="none" w:sz="0" w:space="0" w:color="auto"/>
        <w:left w:val="none" w:sz="0" w:space="0" w:color="auto"/>
        <w:bottom w:val="none" w:sz="0" w:space="0" w:color="auto"/>
        <w:right w:val="none" w:sz="0" w:space="0" w:color="auto"/>
      </w:divBdr>
    </w:div>
    <w:div w:id="1967733391">
      <w:bodyDiv w:val="1"/>
      <w:marLeft w:val="0"/>
      <w:marRight w:val="0"/>
      <w:marTop w:val="0"/>
      <w:marBottom w:val="0"/>
      <w:divBdr>
        <w:top w:val="none" w:sz="0" w:space="0" w:color="auto"/>
        <w:left w:val="none" w:sz="0" w:space="0" w:color="auto"/>
        <w:bottom w:val="none" w:sz="0" w:space="0" w:color="auto"/>
        <w:right w:val="none" w:sz="0" w:space="0" w:color="auto"/>
      </w:divBdr>
    </w:div>
    <w:div w:id="20056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tuncay dogan</dc:creator>
  <cp:keywords/>
  <dc:description/>
  <cp:lastModifiedBy>Nicolas Jorquera</cp:lastModifiedBy>
  <cp:revision>2</cp:revision>
  <dcterms:created xsi:type="dcterms:W3CDTF">2019-04-15T23:25:00Z</dcterms:created>
  <dcterms:modified xsi:type="dcterms:W3CDTF">2022-01-07T03:47:00Z</dcterms:modified>
</cp:coreProperties>
</file>