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AIDA IP Authenticator</w:t>
      </w:r>
    </w:p>
    <w:p>
      <w:pPr>
        <w:spacing w:after="200"/>
      </w:pPr>
      <w:r>
        <w:rPr>
          <w:color w:val="666666"/>
          <w:sz w:val="20"/>
          <w:szCs w:val="20"/>
        </w:rPr>
        <w:t xml:space="preserve">Innovation Germany Funding Proposal  —  €50k / ~100 PD</w:t>
      </w:r>
    </w:p>
    <w:p>
      <w:pPr>
        <w:pStyle w:val="Heading1"/>
      </w:pPr>
      <w:r>
        <w:t xml:space="preserve">Context</w:t>
      </w:r>
    </w:p>
    <w:p>
      <w:pPr>
        <w:spacing w:after="80"/>
      </w:pPr>
      <w:r>
        <w:t xml:space="preserve">AIDA develops reusable IP: AI assistants, automation tools, accelerators. Once deployed to clients, we have no visibility into usage, no way to enforce license terms, and no evidence if disputes arise. Protection is handled ad-hoc per project or not at all.</w:t>
      </w:r>
    </w:p>
    <w:p>
      <w:pPr>
        <w:pStyle w:val="Heading1"/>
      </w:pPr>
      <w:r>
        <w:t xml:space="preserve">What We're Building</w:t>
      </w:r>
    </w:p>
    <w:p>
      <w:pPr>
        <w:spacing w:after="80"/>
      </w:pPr>
      <w:r>
        <w:t xml:space="preserve">A reusable </w:t>
      </w:r>
      <w:r>
        <w:rPr>
          <w:b/>
          <w:bCs/>
        </w:rPr>
        <w:t xml:space="preserve">Authenticator component</w:t>
      </w:r>
      <w:r>
        <w:t xml:space="preserve"> – an SDK plus backend service that any AIDA project can integrate with minimal effort. It handles license validation, usage tracking, and gives us central control over all deployed solutions.</w:t>
      </w:r>
    </w:p>
    <w:p>
      <w:pPr>
        <w:pStyle w:val="Heading2"/>
      </w:pPr>
      <w:r>
        <w:t xml:space="preserve">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5276" w:val="clear"/>
          </w:tcPr>
          <w:p>
            <w:r>
              <w:rPr>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a5276" w:val="clear"/>
          </w:tcPr>
          <w:p>
            <w:r>
              <w:rPr>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tcPr>
          <w:p>
            <w:r>
              <w:rPr>
                <w:b/>
                <w:bCs/>
                <w:sz w:val="20"/>
                <w:szCs w:val="20"/>
              </w:rPr>
              <w:t xml:space="preserve">SDK</w:t>
            </w:r>
          </w:p>
        </w:tc>
        <w:tc>
          <w:tcPr>
            <w:tcW w:type="dxa" w:w="6960"/>
            <w:tcBorders>
              <w:top w:val="single" w:color="CCCCCC" w:sz="1"/>
              <w:left w:val="single" w:color="CCCCCC" w:sz="1"/>
              <w:bottom w:val="single" w:color="CCCCCC" w:sz="1"/>
              <w:right w:val="single" w:color="CCCCCC" w:sz="1"/>
            </w:tcBorders>
          </w:tcPr>
          <w:p>
            <w:r>
              <w:rPr>
                <w:sz w:val="20"/>
                <w:szCs w:val="20"/>
              </w:rPr>
              <w:t xml:space="preserve">Python + JS library. Decorator-based API – add 3-5 lines to protect an application. Handles token caching, offline grace periods, automatic renewal.</w:t>
            </w:r>
          </w:p>
        </w:tc>
      </w:tr>
      <w:tr>
        <w:tc>
          <w:tcPr>
            <w:tcW w:type="dxa" w:w="2400"/>
            <w:tcBorders>
              <w:top w:val="single" w:color="CCCCCC" w:sz="1"/>
              <w:left w:val="single" w:color="CCCCCC" w:sz="1"/>
              <w:bottom w:val="single" w:color="CCCCCC" w:sz="1"/>
              <w:right w:val="single" w:color="CCCCCC" w:sz="1"/>
            </w:tcBorders>
          </w:tcPr>
          <w:p>
            <w:r>
              <w:rPr>
                <w:b/>
                <w:bCs/>
                <w:sz w:val="20"/>
                <w:szCs w:val="20"/>
              </w:rPr>
              <w:t xml:space="preserve">Backend</w:t>
            </w:r>
          </w:p>
        </w:tc>
        <w:tc>
          <w:tcPr>
            <w:tcW w:type="dxa" w:w="6960"/>
            <w:tcBorders>
              <w:top w:val="single" w:color="CCCCCC" w:sz="1"/>
              <w:left w:val="single" w:color="CCCCCC" w:sz="1"/>
              <w:bottom w:val="single" w:color="CCCCCC" w:sz="1"/>
              <w:right w:val="single" w:color="CCCCCC" w:sz="1"/>
            </w:tcBorders>
          </w:tcPr>
          <w:p>
            <w:r>
              <w:rPr>
                <w:sz w:val="20"/>
                <w:szCs w:val="20"/>
              </w:rPr>
              <w:t xml:space="preserve">Serverless (Azure Functions / GCP Cloud Run). Validates licenses, issues JWT tokens, ingests telemetry. Database stores licenses, products, usage logs.</w:t>
            </w:r>
          </w:p>
        </w:tc>
      </w:tr>
      <w:tr>
        <w:tc>
          <w:tcPr>
            <w:tcW w:type="dxa" w:w="2400"/>
            <w:tcBorders>
              <w:top w:val="single" w:color="CCCCCC" w:sz="1"/>
              <w:left w:val="single" w:color="CCCCCC" w:sz="1"/>
              <w:bottom w:val="single" w:color="CCCCCC" w:sz="1"/>
              <w:right w:val="single" w:color="CCCCCC" w:sz="1"/>
            </w:tcBorders>
          </w:tcPr>
          <w:p>
            <w:r>
              <w:rPr>
                <w:b/>
                <w:bCs/>
                <w:sz w:val="20"/>
                <w:szCs w:val="20"/>
              </w:rPr>
              <w:t xml:space="preserve">Admin Portal</w:t>
            </w:r>
          </w:p>
        </w:tc>
        <w:tc>
          <w:tcPr>
            <w:tcW w:type="dxa" w:w="6960"/>
            <w:tcBorders>
              <w:top w:val="single" w:color="CCCCCC" w:sz="1"/>
              <w:left w:val="single" w:color="CCCCCC" w:sz="1"/>
              <w:bottom w:val="single" w:color="CCCCCC" w:sz="1"/>
              <w:right w:val="single" w:color="CCCCCC" w:sz="1"/>
            </w:tcBorders>
          </w:tcPr>
          <w:p>
            <w:r>
              <w:rPr>
                <w:sz w:val="20"/>
                <w:szCs w:val="20"/>
              </w:rPr>
              <w:t xml:space="preserve">Web UI for license management: issue keys, set expiration, revoke access, view usage dashboards, anomaly alerts. SSO integration.</w:t>
            </w:r>
          </w:p>
        </w:tc>
      </w:tr>
      <w:tr>
        <w:tc>
          <w:tcPr>
            <w:tcW w:type="dxa" w:w="2400"/>
            <w:tcBorders>
              <w:top w:val="single" w:color="CCCCCC" w:sz="1"/>
              <w:left w:val="single" w:color="CCCCCC" w:sz="1"/>
              <w:bottom w:val="single" w:color="CCCCCC" w:sz="1"/>
              <w:right w:val="single" w:color="CCCCCC" w:sz="1"/>
            </w:tcBorders>
          </w:tcPr>
          <w:p>
            <w:r>
              <w:rPr>
                <w:b/>
                <w:bCs/>
                <w:sz w:val="20"/>
                <w:szCs w:val="20"/>
              </w:rPr>
              <w:t xml:space="preserve">Telemetry</w:t>
            </w:r>
          </w:p>
        </w:tc>
        <w:tc>
          <w:tcPr>
            <w:tcW w:type="dxa" w:w="6960"/>
            <w:tcBorders>
              <w:top w:val="single" w:color="CCCCCC" w:sz="1"/>
              <w:left w:val="single" w:color="CCCCCC" w:sz="1"/>
              <w:bottom w:val="single" w:color="CCCCCC" w:sz="1"/>
              <w:right w:val="single" w:color="CCCCCC" w:sz="1"/>
            </w:tcBorders>
          </w:tcPr>
          <w:p>
            <w:r>
              <w:rPr>
                <w:sz w:val="20"/>
                <w:szCs w:val="20"/>
              </w:rPr>
              <w:t xml:space="preserve">Usage tracking per client, product, feature. Detect anomalies: sudden spikes, geographic inconsistencies, expired-but-running instances.</w:t>
            </w:r>
          </w:p>
        </w:tc>
      </w:tr>
    </w:tbl>
    <w:p>
      <w:pPr>
        <w:pStyle w:val="Heading2"/>
      </w:pPr>
      <w:r>
        <w:t xml:space="preserve">Integration Example</w:t>
      </w:r>
    </w:p>
    <w:p>
      <w:pPr>
        <w:shd w:fill="F4F4F4" w:val="clear"/>
        <w:spacing w:after="80"/>
      </w:pPr>
      <w:r>
        <w:rPr>
          <w:rFonts w:ascii="Consolas" w:cs="Consolas" w:eastAsia="Consolas" w:hAnsi="Consolas"/>
          <w:sz w:val="18"/>
          <w:szCs w:val="18"/>
        </w:rPr>
        <w:t xml:space="preserve">from deloitte_authenticator import protect
@protect(product_id="apm-solution")
def main():
    # runs only if license valid</w:t>
      </w:r>
    </w:p>
    <w:p>
      <w:pPr>
        <w:spacing w:after="80"/>
      </w:pPr>
      <w:r>
        <w:rPr>
          <w:sz w:val="20"/>
          <w:szCs w:val="20"/>
        </w:rPr>
        <w:t xml:space="preserve">That's it. The decorator validates on startup, caches the token, handles renewals. If the license is invalid or revoked, the app won't run.</w:t>
      </w:r>
    </w:p>
    <w:p>
      <w:pPr>
        <w:pStyle w:val="Heading1"/>
      </w:pPr>
      <w:r>
        <w:t xml:space="preserve">What This Gives Us</w:t>
      </w:r>
    </w:p>
    <w:p>
      <w:pPr>
        <w:pStyle w:val="ListParagraph"/>
        <w:numPr>
          <w:ilvl w:val="0"/>
          <w:numId w:val="2"/>
        </w:numPr>
      </w:pPr>
      <w:r>
        <w:rPr>
          <w:b/>
          <w:bCs/>
        </w:rPr>
        <w:t xml:space="preserve">Visibility: </w:t>
      </w:r>
      <w:r>
        <w:t xml:space="preserve">Real-time view of which clients use which solutions, usage frequency, feature adoption</w:t>
      </w:r>
    </w:p>
    <w:p>
      <w:pPr>
        <w:pStyle w:val="ListParagraph"/>
        <w:numPr>
          <w:ilvl w:val="0"/>
          <w:numId w:val="2"/>
        </w:numPr>
      </w:pPr>
      <w:r>
        <w:rPr>
          <w:b/>
          <w:bCs/>
        </w:rPr>
        <w:t xml:space="preserve">Control: </w:t>
      </w:r>
      <w:r>
        <w:t xml:space="preserve">Revoke access remotely when contracts expire or relationships end</w:t>
      </w:r>
    </w:p>
    <w:p>
      <w:pPr>
        <w:pStyle w:val="ListParagraph"/>
        <w:numPr>
          <w:ilvl w:val="0"/>
          <w:numId w:val="2"/>
        </w:numPr>
      </w:pPr>
      <w:r>
        <w:rPr>
          <w:b/>
          <w:bCs/>
        </w:rPr>
        <w:t xml:space="preserve">Evidence: </w:t>
      </w:r>
      <w:r>
        <w:t xml:space="preserve">Timestamped audit logs for contractual enforcement and dispute resolution</w:t>
      </w:r>
    </w:p>
    <w:p>
      <w:pPr>
        <w:pStyle w:val="ListParagraph"/>
        <w:numPr>
          <w:ilvl w:val="0"/>
          <w:numId w:val="2"/>
        </w:numPr>
      </w:pPr>
      <w:r>
        <w:rPr>
          <w:b/>
          <w:bCs/>
        </w:rPr>
        <w:t xml:space="preserve">Deterrence: </w:t>
      </w:r>
      <w:r>
        <w:t xml:space="preserve">Casual copying becomes impractical – software stops working without valid license</w:t>
      </w:r>
    </w:p>
    <w:p>
      <w:pPr>
        <w:pStyle w:val="ListParagraph"/>
        <w:numPr>
          <w:ilvl w:val="0"/>
          <w:numId w:val="2"/>
        </w:numPr>
        <w:spacing w:after="80"/>
      </w:pPr>
      <w:r>
        <w:rPr>
          <w:b/>
          <w:bCs/>
        </w:rPr>
        <w:t xml:space="preserve">Scalability: </w:t>
      </w:r>
      <w:r>
        <w:t xml:space="preserve">Build once, embed in every AIDA solution going forward</w:t>
      </w:r>
    </w:p>
    <w:p>
      <w:pPr>
        <w:spacing w:after="80"/>
      </w:pPr>
      <w:r>
        <w:rPr>
          <w:b/>
          <w:bCs/>
        </w:rPr>
        <w:t xml:space="preserve">Realistic scope: </w:t>
      </w:r>
      <w:r>
        <w:t xml:space="preserve">This is a deterrent and detection system, not DRM. A determined attacker with source access can bypass it. The goal is making unauthorized use inconvenient, traceable, and contractually enforceable – not impossible.</w:t>
      </w:r>
    </w:p>
    <w:p>
      <w:r>
        <w:br w:type="page"/>
      </w:r>
    </w:p>
    <w:p>
      <w:pPr>
        <w:pStyle w:val="Heading1"/>
      </w:pPr>
      <w:r>
        <w:t xml:space="preserve">Effort Breakdown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rPr>
          <w:tblHeader/>
        </w:trPr>
        <w:tc>
          <w:tcPr>
            <w:tcW w:type="dxa" w:w="4200"/>
            <w:tcBorders>
              <w:top w:val="single" w:color="CCCCCC" w:sz="1"/>
              <w:left w:val="single" w:color="CCCCCC" w:sz="1"/>
              <w:bottom w:val="single" w:color="CCCCCC" w:sz="1"/>
              <w:right w:val="single" w:color="CCCCCC" w:sz="1"/>
            </w:tcBorders>
            <w:shd w:fill="1a5276" w:val="clear"/>
          </w:tcPr>
          <w:p>
            <w:r>
              <w:rPr>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PD</w:t>
            </w:r>
          </w:p>
        </w:tc>
        <w:tc>
          <w:tcPr>
            <w:tcW w:type="dxa" w:w="3960"/>
            <w:tcBorders>
              <w:top w:val="single" w:color="CCCCCC" w:sz="1"/>
              <w:left w:val="single" w:color="CCCCCC" w:sz="1"/>
              <w:bottom w:val="single" w:color="CCCCCC" w:sz="1"/>
              <w:right w:val="single" w:color="CCCCCC" w:sz="1"/>
            </w:tcBorders>
            <w:shd w:fill="1a5276" w:val="clear"/>
          </w:tcPr>
          <w:p>
            <w:r>
              <w:rPr>
                <w:b/>
                <w:bCs/>
                <w:color w:val="FFFFFF"/>
                <w:sz w:val="20"/>
                <w:szCs w:val="20"/>
              </w:rPr>
              <w:t xml:space="preserve">Output</w:t>
            </w:r>
          </w:p>
        </w:tc>
      </w:tr>
      <w:tr>
        <w:tc>
          <w:tcPr>
            <w:tcW w:type="dxa" w:w="4200"/>
            <w:tcBorders>
              <w:top w:val="single" w:color="CCCCCC" w:sz="1"/>
              <w:left w:val="single" w:color="CCCCCC" w:sz="1"/>
              <w:bottom w:val="single" w:color="CCCCCC" w:sz="1"/>
              <w:right w:val="single" w:color="CCCCCC" w:sz="1"/>
            </w:tcBorders>
          </w:tcPr>
          <w:p>
            <w:r>
              <w:rPr>
                <w:sz w:val="20"/>
                <w:szCs w:val="20"/>
              </w:rPr>
              <w:t xml:space="preserve">Discovery &amp; Architecture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5</w:t>
            </w:r>
          </w:p>
        </w:tc>
        <w:tc>
          <w:tcPr>
            <w:tcW w:type="dxa" w:w="3960"/>
            <w:tcBorders>
              <w:top w:val="single" w:color="CCCCCC" w:sz="1"/>
              <w:left w:val="single" w:color="CCCCCC" w:sz="1"/>
              <w:bottom w:val="single" w:color="CCCCCC" w:sz="1"/>
              <w:right w:val="single" w:color="CCCCCC" w:sz="1"/>
            </w:tcBorders>
          </w:tcPr>
          <w:p>
            <w:r>
              <w:rPr>
                <w:sz w:val="20"/>
                <w:szCs w:val="20"/>
              </w:rPr>
              <w:t xml:space="preserve">IP inventory, deployment patterns, tech decisions</w:t>
            </w:r>
          </w:p>
        </w:tc>
      </w:tr>
      <w:tr>
        <w:tc>
          <w:tcPr>
            <w:tcW w:type="dxa" w:w="4200"/>
            <w:tcBorders>
              <w:top w:val="single" w:color="CCCCCC" w:sz="1"/>
              <w:left w:val="single" w:color="CCCCCC" w:sz="1"/>
              <w:bottom w:val="single" w:color="CCCCCC" w:sz="1"/>
              <w:right w:val="single" w:color="CCCCCC" w:sz="1"/>
            </w:tcBorders>
          </w:tcPr>
          <w:p>
            <w:r>
              <w:rPr>
                <w:sz w:val="20"/>
                <w:szCs w:val="20"/>
              </w:rPr>
              <w:t xml:space="preserve">SDK Development (Python + JS)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30</w:t>
            </w:r>
          </w:p>
        </w:tc>
        <w:tc>
          <w:tcPr>
            <w:tcW w:type="dxa" w:w="3960"/>
            <w:tcBorders>
              <w:top w:val="single" w:color="CCCCCC" w:sz="1"/>
              <w:left w:val="single" w:color="CCCCCC" w:sz="1"/>
              <w:bottom w:val="single" w:color="CCCCCC" w:sz="1"/>
              <w:right w:val="single" w:color="CCCCCC" w:sz="1"/>
            </w:tcBorders>
          </w:tcPr>
          <w:p>
            <w:r>
              <w:rPr>
                <w:sz w:val="20"/>
                <w:szCs w:val="20"/>
              </w:rPr>
              <w:t xml:space="preserve">Libraries, caching, offline mode, error handling</w:t>
            </w:r>
          </w:p>
        </w:tc>
      </w:tr>
      <w:tr>
        <w:tc>
          <w:tcPr>
            <w:tcW w:type="dxa" w:w="4200"/>
            <w:tcBorders>
              <w:top w:val="single" w:color="CCCCCC" w:sz="1"/>
              <w:left w:val="single" w:color="CCCCCC" w:sz="1"/>
              <w:bottom w:val="single" w:color="CCCCCC" w:sz="1"/>
              <w:right w:val="single" w:color="CCCCCC" w:sz="1"/>
            </w:tcBorders>
          </w:tcPr>
          <w:p>
            <w:r>
              <w:rPr>
                <w:sz w:val="20"/>
                <w:szCs w:val="20"/>
              </w:rPr>
              <w:t xml:space="preserve">Validation Backend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25</w:t>
            </w:r>
          </w:p>
        </w:tc>
        <w:tc>
          <w:tcPr>
            <w:tcW w:type="dxa" w:w="3960"/>
            <w:tcBorders>
              <w:top w:val="single" w:color="CCCCCC" w:sz="1"/>
              <w:left w:val="single" w:color="CCCCCC" w:sz="1"/>
              <w:bottom w:val="single" w:color="CCCCCC" w:sz="1"/>
              <w:right w:val="single" w:color="CCCCCC" w:sz="1"/>
            </w:tcBorders>
          </w:tcPr>
          <w:p>
            <w:r>
              <w:rPr>
                <w:sz w:val="20"/>
                <w:szCs w:val="20"/>
              </w:rPr>
              <w:t xml:space="preserve">APIs, JWT signing, database, telemetry ingestion</w:t>
            </w:r>
          </w:p>
        </w:tc>
      </w:tr>
      <w:tr>
        <w:tc>
          <w:tcPr>
            <w:tcW w:type="dxa" w:w="4200"/>
            <w:tcBorders>
              <w:top w:val="single" w:color="CCCCCC" w:sz="1"/>
              <w:left w:val="single" w:color="CCCCCC" w:sz="1"/>
              <w:bottom w:val="single" w:color="CCCCCC" w:sz="1"/>
              <w:right w:val="single" w:color="CCCCCC" w:sz="1"/>
            </w:tcBorders>
          </w:tcPr>
          <w:p>
            <w:r>
              <w:rPr>
                <w:sz w:val="20"/>
                <w:szCs w:val="20"/>
              </w:rPr>
              <w:t xml:space="preserve">Admin Portal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20</w:t>
            </w:r>
          </w:p>
        </w:tc>
        <w:tc>
          <w:tcPr>
            <w:tcW w:type="dxa" w:w="3960"/>
            <w:tcBorders>
              <w:top w:val="single" w:color="CCCCCC" w:sz="1"/>
              <w:left w:val="single" w:color="CCCCCC" w:sz="1"/>
              <w:bottom w:val="single" w:color="CCCCCC" w:sz="1"/>
              <w:right w:val="single" w:color="CCCCCC" w:sz="1"/>
            </w:tcBorders>
          </w:tcPr>
          <w:p>
            <w:r>
              <w:rPr>
                <w:sz w:val="20"/>
                <w:szCs w:val="20"/>
              </w:rPr>
              <w:t xml:space="preserve">License CRUD, dashboards, SSO, alerts</w:t>
            </w:r>
          </w:p>
        </w:tc>
      </w:tr>
      <w:tr>
        <w:tc>
          <w:tcPr>
            <w:tcW w:type="dxa" w:w="4200"/>
            <w:tcBorders>
              <w:top w:val="single" w:color="CCCCCC" w:sz="1"/>
              <w:left w:val="single" w:color="CCCCCC" w:sz="1"/>
              <w:bottom w:val="single" w:color="CCCCCC" w:sz="1"/>
              <w:right w:val="single" w:color="CCCCCC" w:sz="1"/>
            </w:tcBorders>
          </w:tcPr>
          <w:p>
            <w:r>
              <w:rPr>
                <w:sz w:val="20"/>
                <w:szCs w:val="20"/>
              </w:rPr>
              <w:t xml:space="preserve">Docs, Testing, Security Review</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20</w:t>
            </w:r>
          </w:p>
        </w:tc>
        <w:tc>
          <w:tcPr>
            <w:tcW w:type="dxa" w:w="3960"/>
            <w:tcBorders>
              <w:top w:val="single" w:color="CCCCCC" w:sz="1"/>
              <w:left w:val="single" w:color="CCCCCC" w:sz="1"/>
              <w:bottom w:val="single" w:color="CCCCCC" w:sz="1"/>
              <w:right w:val="single" w:color="CCCCCC" w:sz="1"/>
            </w:tcBorders>
          </w:tcPr>
          <w:p>
            <w:r>
              <w:rPr>
                <w:sz w:val="20"/>
                <w:szCs w:val="20"/>
              </w:rPr>
              <w:t xml:space="preserve">Integration guides, pen testing, edge cases</w:t>
            </w:r>
          </w:p>
        </w:tc>
      </w:tr>
      <w:tr>
        <w:tc>
          <w:tcPr>
            <w:tcW w:type="dxa" w:w="4200"/>
            <w:tcBorders>
              <w:top w:val="single" w:color="CCCCCC" w:sz="1"/>
              <w:left w:val="single" w:color="CCCCCC" w:sz="1"/>
              <w:bottom w:val="single" w:color="CCCCCC" w:sz="1"/>
              <w:right w:val="single" w:color="CCCCCC" w:sz="1"/>
            </w:tcBorders>
            <w:shd w:fill="F0F0F0" w:val="clear"/>
          </w:tcPr>
          <w:p>
            <w:r>
              <w:rPr>
                <w:b/>
                <w:bCs/>
                <w:sz w:val="20"/>
                <w:szCs w:val="20"/>
              </w:rPr>
              <w:t xml:space="preserve">Total</w:t>
            </w:r>
          </w:p>
        </w:tc>
        <w:tc>
          <w:tcPr>
            <w:tcW w:type="dxa" w:w="1200"/>
            <w:tcBorders>
              <w:top w:val="single" w:color="CCCCCC" w:sz="1"/>
              <w:left w:val="single" w:color="CCCCCC" w:sz="1"/>
              <w:bottom w:val="single" w:color="CCCCCC" w:sz="1"/>
              <w:right w:val="single" w:color="CCCCCC" w:sz="1"/>
            </w:tcBorders>
            <w:shd w:fill="F0F0F0" w:val="clear"/>
          </w:tcPr>
          <w:p>
            <w:pPr>
              <w:jc w:val="center"/>
            </w:pPr>
            <w:r>
              <w:rPr>
                <w:b/>
                <w:bCs/>
                <w:sz w:val="20"/>
                <w:szCs w:val="20"/>
              </w:rPr>
              <w:t xml:space="preserve">100</w:t>
            </w:r>
          </w:p>
        </w:tc>
        <w:tc>
          <w:tcPr>
            <w:tcW w:type="dxa" w:w="3960"/>
            <w:tcBorders>
              <w:top w:val="single" w:color="CCCCCC" w:sz="1"/>
              <w:left w:val="single" w:color="CCCCCC" w:sz="1"/>
              <w:bottom w:val="single" w:color="CCCCCC" w:sz="1"/>
              <w:right w:val="single" w:color="CCCCCC" w:sz="1"/>
            </w:tcBorders>
            <w:shd w:fill="F0F0F0" w:val="clear"/>
          </w:tcPr>
          <w:p>
            <w:r>
              <w:rPr>
                <w:sz w:val="20"/>
                <w:szCs w:val="20"/>
              </w:rPr>
              <w:t xml:space="preserve">~12-14 weeks with 2-3 devs</w:t>
            </w:r>
          </w:p>
        </w:tc>
      </w:tr>
    </w:tbl>
    <w:p>
      <w:pPr>
        <w:spacing w:before="120" w:after="80"/>
      </w:pPr>
      <w:r>
        <w:rPr>
          <w:b/>
          <w:bCs/>
        </w:rPr>
        <w:t xml:space="preserve">Budget: </w:t>
      </w:r>
      <w:r>
        <w:t xml:space="preserve">€45k development + €3k cloud (year 1) + €2k security review = </w:t>
      </w:r>
      <w:r>
        <w:rPr>
          <w:b/>
          <w:bCs/>
        </w:rPr>
        <w:t xml:space="preserve">€50k total</w:t>
      </w:r>
      <w:r>
        <w:t xml:space="preserve">. Ongoing: ~€300/month hosting, ~5 PD/quarter maintenance.</w:t>
      </w:r>
    </w:p>
    <w:p>
      <w:pPr>
        <w:pStyle w:val="Heading1"/>
      </w:pPr>
      <w:r>
        <w:t xml:space="preserve">Key Risks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276" w:val="clear"/>
          </w:tcPr>
          <w:p>
            <w:r>
              <w:rPr>
                <w:b/>
                <w:bCs/>
                <w:color w:val="FFFFFF"/>
                <w:sz w:val="20"/>
                <w:szCs w:val="20"/>
              </w:rPr>
              <w:t xml:space="preserve">Risk</w:t>
            </w:r>
          </w:p>
        </w:tc>
        <w:tc>
          <w:tcPr>
            <w:tcW w:type="dxa" w:w="6360"/>
            <w:tcBorders>
              <w:top w:val="single" w:color="CCCCCC" w:sz="1"/>
              <w:left w:val="single" w:color="CCCCCC" w:sz="1"/>
              <w:bottom w:val="single" w:color="CCCCCC" w:sz="1"/>
              <w:right w:val="single" w:color="CCCCCC" w:sz="1"/>
            </w:tcBorders>
            <w:shd w:fill="1a5276" w:val="clear"/>
          </w:tcPr>
          <w:p>
            <w:r>
              <w:rPr>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Client blocks outbound calls</w:t>
            </w:r>
          </w:p>
        </w:tc>
        <w:tc>
          <w:tcPr>
            <w:tcW w:type="dxa" w:w="6360"/>
            <w:tcBorders>
              <w:top w:val="single" w:color="CCCCCC" w:sz="1"/>
              <w:left w:val="single" w:color="CCCCCC" w:sz="1"/>
              <w:bottom w:val="single" w:color="CCCCCC" w:sz="1"/>
              <w:right w:val="single" w:color="CCCCCC" w:sz="1"/>
            </w:tcBorders>
          </w:tcPr>
          <w:p>
            <w:r>
              <w:rPr>
                <w:sz w:val="20"/>
                <w:szCs w:val="20"/>
              </w:rPr>
              <w:t xml:space="preserve">Configurable offline grace period (7-30 days). Coordinate with client IT during deployment.</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Teams skip it under deadline</w:t>
            </w:r>
          </w:p>
        </w:tc>
        <w:tc>
          <w:tcPr>
            <w:tcW w:type="dxa" w:w="6360"/>
            <w:tcBorders>
              <w:top w:val="single" w:color="CCCCCC" w:sz="1"/>
              <w:left w:val="single" w:color="CCCCCC" w:sz="1"/>
              <w:bottom w:val="single" w:color="CCCCCC" w:sz="1"/>
              <w:right w:val="single" w:color="CCCCCC" w:sz="1"/>
            </w:tcBorders>
          </w:tcPr>
          <w:p>
            <w:r>
              <w:rPr>
                <w:sz w:val="20"/>
                <w:szCs w:val="20"/>
              </w:rPr>
              <w:t xml:space="preserve">Make integration mandatory for delivery sign-off. Keep effort &lt;1 PD per project.</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Client pushback ("phoning home")</w:t>
            </w:r>
          </w:p>
        </w:tc>
        <w:tc>
          <w:tcPr>
            <w:tcW w:type="dxa" w:w="6360"/>
            <w:tcBorders>
              <w:top w:val="single" w:color="CCCCCC" w:sz="1"/>
              <w:left w:val="single" w:color="CCCCCC" w:sz="1"/>
              <w:bottom w:val="single" w:color="CCCCCC" w:sz="1"/>
              <w:right w:val="single" w:color="CCCCCC" w:sz="1"/>
            </w:tcBorders>
          </w:tcPr>
          <w:p>
            <w:r>
              <w:rPr>
                <w:sz w:val="20"/>
                <w:szCs w:val="20"/>
              </w:rPr>
              <w:t xml:space="preserve">Standard industry practice. Document in contracts upfront. Privacy-compliant (no sensitive data).</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Technical bypass</w:t>
            </w:r>
          </w:p>
        </w:tc>
        <w:tc>
          <w:tcPr>
            <w:tcW w:type="dxa" w:w="6360"/>
            <w:tcBorders>
              <w:top w:val="single" w:color="CCCCCC" w:sz="1"/>
              <w:left w:val="single" w:color="CCCCCC" w:sz="1"/>
              <w:bottom w:val="single" w:color="CCCCCC" w:sz="1"/>
              <w:right w:val="single" w:color="CCCCCC" w:sz="1"/>
            </w:tcBorders>
          </w:tcPr>
          <w:p>
            <w:r>
              <w:rPr>
                <w:sz w:val="20"/>
                <w:szCs w:val="20"/>
              </w:rPr>
              <w:t xml:space="preserve">Obfuscation raises the bar. Legal contracts remain primary enforcement. Focus: deter + detect.</w:t>
            </w:r>
          </w:p>
        </w:tc>
      </w:tr>
    </w:tbl>
    <w:p>
      <w:pPr>
        <w:pStyle w:val="Heading1"/>
      </w:pPr>
      <w:r>
        <w:t xml:space="preserve">Bottom Line</w:t>
      </w:r>
    </w:p>
    <w:p>
      <w:pPr>
        <w:spacing w:after="80"/>
      </w:pPr>
      <w:r>
        <w:t xml:space="preserve">We're building IP without protecting it. The Authenticator gives us visibility into what's deployed, control over who can use it, and evidence when we need to enforce contracts. It integrates in under a day per project, so it won't slow delivery.</w:t>
      </w:r>
    </w:p>
    <w:p>
      <w:r>
        <w:t xml:space="preserve">The protection isn't absolute – nothing is – but it changes the calculus. Unauthorized use becomes trackable, inconvenient, and legally actionable. That's the realistic goal.</w:t>
      </w:r>
    </w:p>
    <w:p>
      <w:pPr>
        <w:spacing w:before="200"/>
      </w:pPr>
      <w:r>
        <w:rPr>
          <w:b/>
          <w:bCs/>
        </w:rPr>
        <w:t xml:space="preserve">Next step: </w:t>
      </w:r>
      <w:r>
        <w:t xml:space="preserve">5 PD discovery to inventory priority solutions and confirm architecture fits existing deployment patterns.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bullet"/>
      <w:lvlText w:val="•"/>
      <w:lvlJc w:val="left"/>
      <w:pPr>
        <w:ind w:left="360" w:hanging="360"/>
      </w:pPr>
    </w:lvl>
  </w:abstractNum>
  <w:abstractNum w:abstractNumId="4" w15:restartNumberingAfterBreak="0">
    <w:multiLevelType w:val="hybridMultilevel"/>
    <w:lvl w:ilvl="0" w15:tentative="1">
      <w:start w:val="1"/>
      <w:numFmt w:val="bullet"/>
      <w:lvlText w:val="•"/>
      <w:lvlJc w:val="left"/>
      <w:pPr>
        <w:ind w:left="360" w:hanging="360"/>
      </w:pPr>
    </w:lvl>
  </w:abstractNum>
  <w:abstractNum w:abstractNumId="5"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pPr>
    <w:rPr>
      <w:rFonts w:ascii="Arial" w:cs="Arial" w:eastAsia="Arial" w:hAnsi="Arial"/>
      <w:b/>
      <w:bCs/>
      <w:color w:val="1a5276"/>
      <w:sz w:val="36"/>
      <w:szCs w:val="36"/>
    </w:rPr>
  </w:style>
  <w:style w:type="paragraph" w:styleId="Heading1">
    <w:name w:val="Heading 1"/>
    <w:basedOn w:val="Normal"/>
    <w:next w:val="Normal"/>
    <w:qFormat/>
    <w:pPr>
      <w:spacing w:before="280" w:after="100"/>
      <w:outlineLvl w:val="0"/>
    </w:pPr>
    <w:rPr>
      <w:rFonts w:ascii="Arial" w:cs="Arial" w:eastAsia="Arial" w:hAnsi="Arial"/>
      <w:b/>
      <w:bCs/>
      <w:color w:val="1a5276"/>
      <w:sz w:val="24"/>
      <w:szCs w:val="24"/>
    </w:rPr>
  </w:style>
  <w:style w:type="paragraph" w:styleId="Heading2">
    <w:name w:val="Heading 2"/>
    <w:basedOn w:val="Normal"/>
    <w:next w:val="Normal"/>
    <w:qFormat/>
    <w:pPr>
      <w:spacing w:before="200" w:after="80"/>
      <w:outlineLvl w:val="1"/>
    </w:pPr>
    <w:rPr>
      <w:rFonts w:ascii="Arial" w:cs="Arial" w:eastAsia="Arial" w:hAnsi="Arial"/>
      <w:b/>
      <w:bCs/>
      <w:color w:val="2874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2025-12-05T12:28:28.543Z</dcterms:created>
  <dcterms:modified xsi:type="dcterms:W3CDTF">2025-12-05T12:28:28.544Z</dcterms:modified>
</cp:coreProperties>
</file>

<file path=docProps/custom.xml><?xml version="1.0" encoding="utf-8"?>
<Properties xmlns="http://schemas.openxmlformats.org/officeDocument/2006/custom-properties" xmlns:vt="http://schemas.openxmlformats.org/officeDocument/2006/docPropsVTypes"/>
</file>