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FORTUNA — Forbearance Skill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Nic &amp; Harshitha — Feb 2026 — Confidential</w:t>
      </w:r>
    </w:p>
    <w:p>
      <w:pPr>
        <w:spacing w:before="200" w:after="200"/>
      </w:pPr>
    </w:p>
    <w:p>
      <w:pPr>
        <w:pStyle w:val="Heading1"/>
        <w:spacing w:before="360" w:after="140"/>
      </w:pPr>
      <w:r>
        <w:rPr>
          <w:rFonts w:ascii="Calibri" w:cs="Calibri" w:eastAsia="Calibri" w:hAnsi="Calibri"/>
        </w:rPr>
        <w:t xml:space="preserve">Forbearance Check Workflow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 auditor checking for forbearance reviews a borrower’s credit file for signs that the bank granted concessions (rate cuts, maturity extensions, payment holidays, covenant waivers, debt write-offs, etc.) to a borrower in financial difficulty.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Auditor selects debtor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Picks the debtor + year to analyse. Documents are already in the system from ETL.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22"/>
                <w:szCs w:val="22"/>
              </w:rPr>
              <w:t xml:space="preserve">▼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Load checklist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Stephan’s Triggers Cheat Sheet → structured trigger items (e.g. “Interest rate concessions”, “Maturity extensions”). Each has search keywords + EBA/ECB regulatory reference.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22"/>
                <w:szCs w:val="22"/>
              </w:rPr>
              <w:t xml:space="preserve">▼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loop: for each trigger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Search (RAG)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Generate targeted queries from the trigger’s keywords. Retrieve relevant passages from debtor docs in ChromaDB.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22"/>
                <w:szCs w:val="22"/>
              </w:rPr>
              <w:t xml:space="preserve">▼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Evaluate (LLM)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LLM reads passages against the regulatory definition. Outputs: found/not found, confidence, evidence quote, source doc + page, reasoning.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22"/>
                <w:szCs w:val="22"/>
              </w:rPr>
              <w:t xml:space="preserve">▼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>end loop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Draft findings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Aggregate per-trigger assessments into a report: summary, risk level, flagged triggers with evidence.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22"/>
                <w:szCs w:val="22"/>
              </w:rPr>
              <w:t xml:space="preserve">▼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Auditor reviews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Auditor reviews each finding, confirms or dismisses, adds notes. This is the human-in-the-loop step — the agent flags, the auditor decides.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22"/>
                <w:szCs w:val="22"/>
              </w:rPr>
              <w:t xml:space="preserve">▼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Final report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Confirmed findings exported as part of the audit deliverable.</w:t>
            </w:r>
          </w:p>
        </w:tc>
      </w:tr>
    </w:tbl>
    <w:p>
      <w:pPr>
        <w:spacing w:before="200" w:after="200"/>
      </w:pPr>
    </w:p>
    <w:p>
      <w:pPr>
        <w:pStyle w:val="Heading1"/>
        <w:spacing w:before="360" w:after="140"/>
      </w:pPr>
      <w:r>
        <w:rPr>
          <w:rFonts w:ascii="Calibri" w:cs="Calibri" w:eastAsia="Calibri" w:hAnsi="Calibri"/>
        </w:rPr>
        <w:t xml:space="preserve">Human in the Loop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agent is a screening tool, not a decision-maker. It systematically checks every trigger so the auditor doesn’t miss anything, but every flagged finding goes through human review before it becomes an audit conclusion.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means the UI needs to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Reviewing each finding with the evidence shown inline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Confirming, dismissing, or annotating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Jumping to the source document + page to 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Clear distinction between “AI flagged” and “Auditor confirmed”</w:t>
      </w:r>
    </w:p>
    <w:p>
      <w:pPr>
        <w:spacing w:before="200" w:after="200"/>
      </w:pPr>
    </w:p>
    <w:p>
      <w:pPr>
        <w:pStyle w:val="Heading1"/>
        <w:spacing w:before="360" w:after="140"/>
      </w:pPr>
      <w:r>
        <w:rPr>
          <w:rFonts w:ascii="Calibri" w:cs="Calibri" w:eastAsia="Calibri" w:hAnsi="Calibri"/>
        </w:rPr>
        <w:t xml:space="preserve">Skills Engine Concept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Forbearance is the first “skill” — a self-contained analysis capability that plugs into Fortuna. The idea is to build a lightweight engine so future skills just slot in.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Skill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Forbearance Check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Scans docs for forbearance indicators against auditor checklist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99999"/>
                <w:sz w:val="22"/>
                <w:szCs w:val="22"/>
              </w:rPr>
              <w:t xml:space="preserve">Collateral Assessment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99999"/>
                <w:sz w:val="22"/>
                <w:szCs w:val="22"/>
              </w:rPr>
              <w:t xml:space="preserve">(future) Checks collateral documentation completeness + valuation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99999"/>
                <w:sz w:val="22"/>
                <w:szCs w:val="22"/>
              </w:rPr>
              <w:t xml:space="preserve">Covenant Compliance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999999"/>
                <w:sz w:val="22"/>
                <w:szCs w:val="22"/>
              </w:rPr>
              <w:t xml:space="preserve">(future) Checks whether covenant conditions are met</w:t>
            </w:r>
          </w:p>
        </w:tc>
      </w:tr>
    </w:tbl>
    <w:p>
      <w:pPr>
        <w:spacing w:before="60"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skill follows the same pattern: takes a debtor context, runs its checklist against the documents via RAG, returns structured findings for human review. One interface, many capabilities.</w:t>
      </w:r>
    </w:p>
    <w:p>
      <w:pPr>
        <w:spacing w:before="200" w:after="200"/>
      </w:pPr>
    </w:p>
    <w:p>
      <w:pPr>
        <w:pStyle w:val="Heading1"/>
        <w:spacing w:before="360" w:after="140"/>
      </w:pPr>
      <w:r>
        <w:rPr>
          <w:rFonts w:ascii="Calibri" w:cs="Calibri" w:eastAsia="Calibri" w:hAnsi="Calibri"/>
        </w:rPr>
        <w:t xml:space="preserve">Open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Question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Options / suggestion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Where in the UI?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Own sidebar entry (suggested for V1) vs. tab in Report Preview vs. step in existing flow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Reuse existing docs in ChromaDB?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Yes (suggested) — but chunking is table-optimized. May need text-optimized collection if retrieval quality is poor on narrative docs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Demo data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Existing NPL Vermerk may trigger findings. Prepare 1–2 synthetic docs as insurance.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Output format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Interactive UI for demo + exportable report for practical use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Skills engine scope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Extensible (suggested) — ~1–2 days extra, much stronger demo story and future-proof</w:t>
            </w:r>
          </w:p>
        </w:tc>
      </w:tr>
    </w:tbl>
    <w:p>
      <w:pPr>
        <w:spacing w:before="200" w:after="200"/>
      </w:pPr>
    </w:p>
    <w:p>
      <w:pPr>
        <w:pStyle w:val="Heading1"/>
        <w:spacing w:before="360" w:after="140"/>
      </w:pPr>
      <w:r>
        <w:rPr>
          <w:rFonts w:ascii="Calibri" w:cs="Calibri" w:eastAsia="Calibri" w:hAnsi="Calibri"/>
        </w:rPr>
        <w:t xml:space="preserve">Timeline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Week 1: Parse triggers checklist, build skill engine + forbearance agent, test against demo debtor.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Week 2: Frontend, integration, prompt tuning, demo prep.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Blocker: Need Stephan’s Triggers Cheat Sheet to start.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2026-02-06T11:57:56.239Z</dcterms:created>
  <dcterms:modified xsi:type="dcterms:W3CDTF">2026-02-06T11:57:56.240Z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