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FORTUNA — Forbearance Skill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Discussion doc — Nic &amp; Harshitha — Feb 2026 — Confidential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ECB identified a gap: Fortuna extracts financial data but doesn’t check for forbearance measures. Their OSI CoPilot has this on the roadmap. David wants this closed before the next senior ECB demo.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Forbearance checking is fundamentally different from what Fortuna does today. It’s not “find number X on page Y.” It’s qualitative assessment: scanning loan agreements, amendments, memos, and correspondence to detect whether the bank granted concessions to a borrower in financial difficulty.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Value pitch: </w:t>
      </w:r>
      <w:r>
        <w:rPr>
          <w:rFonts w:ascii="Calibri" w:cs="Calibri" w:eastAsia="Calibri" w:hAnsi="Calibri"/>
          <w:sz w:val="22"/>
          <w:szCs w:val="22"/>
        </w:rPr>
        <w:t xml:space="preserve">Fortuna doesn’t just fill spreadsheets — it thinks like an auditor and flags risks across hundreds of pages.</w:t>
      </w:r>
    </w:p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How the Forbearance Agent Works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agent is driven by Stephan’s auditing checklist (“Triggers Cheat Sheet”). Each trigger is a type of forbearance measure to check for: interest rate concessions, maturity extensions, payment holidays, covenant waivers, debt forgiveness, etc.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workflow has four steps. Steps 2–3 run in a loop — one focused investigation per trigger. This is the core design choice: rather than one monolithic pass, the agent runs 10–20 separate search-then-evaluate cycles, each with its own targeted queries.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Load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Parse Stephan’s triggers into structured items, each with an ID, description, search keywords, and regulatory reference (EBA/ECB definitions from Annex V of Regulation 680/2014).</w:t>
      </w:r>
    </w:p>
    <w:p>
      <w:pPr>
        <w:spacing w:before="160"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↓  For each trigger in the checklist: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Targeted Search (RAG)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focused search queries from the trigger’s keywords. Retrieve relevant passages from the debtor’s documents in ChromaDB (already embedded from ETL).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Example: trigger “Interest rate concessions” generates queries for “rate reduction”, “interest only period”, “rate modification”, “concessionary rate”, etc.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LLM Evaluation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LLM reads the retrieved passages against the trigger’s regulatory definition and produces a structured assessment: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Found or not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Confidence level (high / medium / 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Quoted evidence from the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document and page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Reasoning for the assessment</w:t>
      </w:r>
    </w:p>
    <w:p>
      <w:pPr>
        <w:spacing w:before="160"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↓  After all triggers evaluated: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Findings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Aggregate all findings into a structured report: executive summary, overall risk level, count of triggers flagged, and the detailed finding per trigger with full evidence trail.</w:t>
      </w:r>
    </w:p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Decisions to Align On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1. Where does it live in the UI?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flow: Configurations → Report Generation → Report Preview. Forbearance is a different type of analysis.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sidebar entry — cleanest for demo, fastest to build, but feels disconnected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Additional step after Report Generation — unified journey but makes the flow longer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within Report Preview — everything in one place but that page is already complex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Suggestion: </w:t>
      </w:r>
      <w:r>
        <w:rPr>
          <w:rFonts w:ascii="Calibri" w:cs="Calibri" w:eastAsia="Calibri" w:hAnsi="Calibri"/>
          <w:sz w:val="22"/>
          <w:szCs w:val="22"/>
        </w:rPr>
        <w:t xml:space="preserve">Sidebar entry for V1. Design it so it can migrate into Report Preview later if that makes sense.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2. Skills engine: throwaway or reusable?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David said “simple single-purpose engine.” But if we add a lightweight base class and registry (~1–2 extra days), we get a much stronger demo narrative: “We built a skills platform. Forbearance is the first skill. Collateral checks, covenant monitoring, IFRS 9 staging just plug in.”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Suggestion: </w:t>
      </w:r>
      <w:r>
        <w:rPr>
          <w:rFonts w:ascii="Calibri" w:cs="Calibri" w:eastAsia="Calibri" w:hAnsi="Calibri"/>
          <w:sz w:val="22"/>
          <w:szCs w:val="22"/>
        </w:rPr>
        <w:t xml:space="preserve">Extensible. Minimal overhead, big payoff.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3. Output format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Interactive UI (expandable cards per trigger, click to jump to source) for the demo. Exportable PDF or Excel section for practical use. Build the UI first.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4. Document retrieval: reuse existing ChromaDB?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existing ETL already parses, chunks, and embeds the debtor’s documents. The forbearance agent can just query those same embeddings with different queries. No duplicate processing.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risk: existing chunking is optimized for table extraction from financial statements. Forbearance needs to search narrative text (loan agreements, memos). If retrieval quality is poor, we may need a text-optimized collection later.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Suggestion: </w:t>
      </w:r>
      <w:r>
        <w:rPr>
          <w:rFonts w:ascii="Calibri" w:cs="Calibri" w:eastAsia="Calibri" w:hAnsi="Calibri"/>
          <w:sz w:val="22"/>
          <w:szCs w:val="22"/>
        </w:rPr>
        <w:t xml:space="preserve">Reuse existing ChromaDB for V1. Iterate on chunking if retrieval quality isn’t good enough.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5. Demo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demo debtor has an NPL Vermerk that may naturally contain forbearance indicators. But we should also prepare 1–2 synthetic documents with clear triggers as insurance — guarantees the demo shows both detection and source attribution.</w:t>
      </w:r>
    </w:p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Scope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 debtor documents for forbearance indicators based on Stephan’s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findings with evidence and source attribution per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Lightweight skills engine that future skills can plug into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page to view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Completely separate from the existing CFR extraction pipeline (no risk of breakage)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 determination on whether forbearance occurred (this flags indicators for human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Assessing adequacy of the bank’s forbearance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Calculating financial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changes to existing extraction agents or ETL</w:t>
      </w:r>
    </w:p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Reuse vs. New Build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About 70% reuse, 30% new. The new code is mostly the intelligence layer (prompts, evaluation logic, checklist parsing) not infrastructure.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Reuse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new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ETL pipeline, ChromaDB, embeddings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definitions from checklist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wrapper + Azure OpenAI connection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prompts + query generation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components, progress tracking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Forbearance results page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viewer, source attribution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engine + API endpoints</w:t>
            </w:r>
          </w:p>
        </w:tc>
      </w:tr>
    </w:tbl>
    <w:p>
      <w:pPr>
        <w:pStyle w:val="Heading1"/>
        <w:spacing w:before="300" w:after="120"/>
      </w:pPr>
      <w:r>
        <w:rPr>
          <w:rFonts w:ascii="Calibri" w:cs="Calibri" w:eastAsia="Calibri" w:hAnsi="Calibri"/>
        </w:rPr>
        <w:t xml:space="preserve">Timeline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Parse triggers checklist, build skill engine + forbearance agent backend, test against demo debtor.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Frontend page, integration, prompt tuning, demo prep.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Blocker: </w:t>
      </w:r>
      <w:r>
        <w:rPr>
          <w:rFonts w:ascii="Calibri" w:cs="Calibri" w:eastAsia="Calibri" w:hAnsi="Calibri"/>
          <w:sz w:val="22"/>
          <w:szCs w:val="22"/>
        </w:rPr>
        <w:t xml:space="preserve">Need access to Stephan’s Triggers Cheat Sheet to start.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2026-02-06T10:53:24.660Z</dcterms:created>
  <dcterms:modified xsi:type="dcterms:W3CDTF">2026-02-06T10:53:24.661Z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