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spacing w:line="276" w:lineRule="auto"/>
      </w:pPr>
      <w:r>
        <w:pict>
          <v:shape id="_x0000_s1026" o:spid="_x0000_s1026" o:spt="136" type="#_x0000_t136" style="position:absolute;left:0pt;margin-left:0pt;margin-top:0pt;height:50pt;width:50pt;visibility:hidden;z-index:251659264;mso-width-relative:page;mso-height-relative:page;" coordsize="21600,21600">
            <v:path/>
            <v:fill focussize="0,0"/>
            <v:stroke/>
            <v:imagedata o:title=""/>
            <o:lock v:ext="edit" selection="t"/>
            <v:textpath on="f" fitpath="t" trim="t" xscale="f" string="" style="font-size:36pt;v-text-align:center;"/>
          </v:shape>
        </w:pict>
      </w: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jc w:val="both"/>
        <w:rPr>
          <w:rFonts w:ascii="Helvetica Neue Light" w:hAnsi="Helvetica Neue Light" w:eastAsia="Helvetica Neue Light" w:cs="Helvetica Neue Light"/>
          <w:sz w:val="32"/>
          <w:szCs w:val="32"/>
        </w:rPr>
      </w:pPr>
    </w:p>
    <w:p>
      <w:pPr>
        <w:jc w:val="center"/>
        <w:rPr>
          <w:rFonts w:ascii="Helvetica Neue Light" w:hAnsi="Helvetica Neue Light" w:eastAsia="Helvetica Neue Light" w:cs="Helvetica Neue Light"/>
          <w:sz w:val="32"/>
          <w:szCs w:val="32"/>
        </w:rPr>
      </w:pPr>
    </w:p>
    <w:p>
      <w:pPr>
        <w:jc w:val="center"/>
        <w:rPr>
          <w:rFonts w:ascii="Helvetica Neue Light" w:hAnsi="Helvetica Neue Light" w:eastAsia="Helvetica Neue Light" w:cs="Helvetica Neue Light"/>
          <w:sz w:val="32"/>
          <w:szCs w:val="32"/>
        </w:rPr>
      </w:pPr>
      <w:r>
        <w:rPr>
          <w:rFonts w:ascii="Helvetica Neue Light" w:hAnsi="Helvetica Neue Light" w:eastAsia="Helvetica Neue Light" w:cs="Helvetica Neue Light"/>
          <w:sz w:val="32"/>
          <w:szCs w:val="32"/>
        </w:rPr>
        <w:t>Mantenimiento de componentes del SMMC solución comercial</w:t>
      </w:r>
    </w:p>
    <w:p>
      <w:pPr>
        <w:jc w:val="center"/>
        <w:rPr>
          <w:rFonts w:ascii="Helvetica Neue Light" w:hAnsi="Helvetica Neue Light" w:eastAsia="Helvetica Neue Light" w:cs="Helvetica Neue Light"/>
          <w:b/>
          <w:bCs/>
          <w:sz w:val="32"/>
          <w:szCs w:val="32"/>
        </w:rPr>
      </w:pPr>
      <w:r>
        <w:rPr>
          <w:rFonts w:ascii="Helvetica Neue Light" w:hAnsi="Helvetica Neue Light" w:eastAsia="Helvetica Neue Light" w:cs="Helvetica Neue Light"/>
          <w:b/>
          <w:bCs/>
          <w:sz w:val="32"/>
          <w:szCs w:val="32"/>
        </w:rPr>
        <w:t xml:space="preserve">StarBeat </w:t>
      </w:r>
    </w:p>
    <w:p>
      <w:pPr>
        <w:jc w:val="both"/>
        <w:rPr>
          <w:rFonts w:ascii="Helvetica Neue Light" w:hAnsi="Helvetica Neue Light" w:eastAsia="Helvetica Neue Light" w:cs="Helvetica Neue Light"/>
          <w:sz w:val="32"/>
          <w:szCs w:val="32"/>
        </w:rPr>
      </w:pPr>
      <w:bookmarkStart w:id="0" w:name="_GoBack"/>
      <w:bookmarkEnd w:id="0"/>
    </w:p>
    <w:p>
      <w:pPr>
        <w:jc w:val="both"/>
        <w:rPr>
          <w:rFonts w:ascii="Helvetica Neue Light" w:hAnsi="Helvetica Neue Light" w:eastAsia="Helvetica Neue Light" w:cs="Helvetica Neue Light"/>
          <w:sz w:val="32"/>
          <w:szCs w:val="32"/>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jc w:val="both"/>
        <w:rPr>
          <w:rFonts w:ascii="Helvetica Neue Light" w:hAnsi="Helvetica Neue Light" w:eastAsia="Helvetica Neue Light" w:cs="Helvetica Neue Light"/>
        </w:rPr>
      </w:pPr>
    </w:p>
    <w:tbl>
      <w:tblPr>
        <w:tblStyle w:val="29"/>
        <w:tblW w:w="935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9" w:type="dxa"/>
          <w:left w:w="107" w:type="dxa"/>
          <w:bottom w:w="0" w:type="dxa"/>
          <w:right w:w="115" w:type="dxa"/>
        </w:tblCellMar>
      </w:tblPr>
      <w:tblGrid>
        <w:gridCol w:w="801"/>
        <w:gridCol w:w="1316"/>
        <w:gridCol w:w="1706"/>
        <w:gridCol w:w="552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9352" w:type="dxa"/>
            <w:gridSpan w:val="4"/>
            <w:shd w:val="clear" w:color="auto" w:fill="D7D7D7"/>
          </w:tcPr>
          <w:p>
            <w:pPr>
              <w:spacing w:line="259" w:lineRule="auto"/>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Control de versiones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01" w:type="dxa"/>
            <w:shd w:val="clear" w:color="auto" w:fill="D7D7D7"/>
          </w:tcPr>
          <w:p>
            <w:pPr>
              <w:spacing w:line="259" w:lineRule="auto"/>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Versión </w:t>
            </w:r>
          </w:p>
        </w:tc>
        <w:tc>
          <w:tcPr>
            <w:tcW w:w="1316" w:type="dxa"/>
            <w:shd w:val="clear" w:color="auto" w:fill="D7D7D7"/>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Fecha </w:t>
            </w:r>
          </w:p>
        </w:tc>
        <w:tc>
          <w:tcPr>
            <w:tcW w:w="1706" w:type="dxa"/>
            <w:shd w:val="clear" w:color="auto" w:fill="D7D7D7"/>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Autor </w:t>
            </w:r>
          </w:p>
        </w:tc>
        <w:tc>
          <w:tcPr>
            <w:tcW w:w="5529" w:type="dxa"/>
            <w:shd w:val="clear" w:color="auto" w:fill="D7D7D7"/>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Descripción del cambio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01" w:type="dxa"/>
          </w:tcPr>
          <w:p>
            <w:pPr>
              <w:spacing w:line="259" w:lineRule="auto"/>
              <w:rPr>
                <w:rFonts w:ascii="Helvetica Neue Light" w:hAnsi="Helvetica Neue Light" w:eastAsia="Helvetica Neue Light" w:cs="Helvetica Neue Light"/>
                <w:sz w:val="18"/>
                <w:szCs w:val="18"/>
              </w:rPr>
            </w:pPr>
            <w:r>
              <w:rPr>
                <w:szCs w:val="20"/>
              </w:rPr>
              <w:t xml:space="preserve">A </w:t>
            </w:r>
          </w:p>
        </w:tc>
        <w:tc>
          <w:tcPr>
            <w:tcW w:w="1316" w:type="dxa"/>
          </w:tcPr>
          <w:p>
            <w:pPr>
              <w:spacing w:line="259" w:lineRule="auto"/>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05/10/2021</w:t>
            </w:r>
          </w:p>
        </w:tc>
        <w:tc>
          <w:tcPr>
            <w:tcW w:w="1706" w:type="dxa"/>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Yiris Majluf</w:t>
            </w:r>
          </w:p>
        </w:tc>
        <w:tc>
          <w:tcPr>
            <w:tcW w:w="5529" w:type="dxa"/>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Publicación Inicial</w:t>
            </w:r>
          </w:p>
        </w:tc>
      </w:tr>
    </w:tbl>
    <w:p>
      <w:pPr>
        <w:rPr>
          <w:b/>
          <w:bCs/>
        </w:rPr>
      </w:pPr>
      <w:r>
        <w:rPr>
          <w:b/>
          <w:bCs/>
        </w:rPr>
        <w:t>Resumen</w:t>
      </w:r>
    </w:p>
    <w:p>
      <w:r>
        <w:t>El presente documento tiene por objetivo documentar el proceso de mantenimiento de los componentes de la solución comercial del SMMC</w:t>
      </w:r>
      <w:r>
        <w:rPr>
          <w:rFonts w:hint="default"/>
          <w:lang w:val="es-CL"/>
        </w:rPr>
        <w:t xml:space="preserve"> (en terreno) se </w:t>
      </w:r>
      <w:r>
        <w:t xml:space="preserve"> sustentada principalmente en los siguientes aparatos:</w:t>
      </w:r>
    </w:p>
    <w:p>
      <w:pPr>
        <w:pStyle w:val="24"/>
        <w:numPr>
          <w:ilvl w:val="0"/>
          <w:numId w:val="1"/>
        </w:numPr>
      </w:pPr>
      <w:r>
        <w:t>Unidad de medida.</w:t>
      </w:r>
    </w:p>
    <w:p>
      <w:pPr>
        <w:pStyle w:val="24"/>
        <w:numPr>
          <w:ilvl w:val="0"/>
          <w:numId w:val="1"/>
        </w:numPr>
      </w:pPr>
      <w:r>
        <w:rPr>
          <w:lang w:val="es-CL"/>
        </w:rPr>
        <w:t>Mód</w:t>
      </w:r>
      <w:r>
        <w:rPr>
          <w:rFonts w:hint="default"/>
          <w:lang w:val="es-CL"/>
        </w:rPr>
        <w:t>em (Router)</w:t>
      </w:r>
      <w:r>
        <w:t>.</w:t>
      </w:r>
    </w:p>
    <w:p/>
    <w:p>
      <w:pPr>
        <w:keepNext/>
        <w:jc w:val="center"/>
      </w:pPr>
      <w:r>
        <w:drawing>
          <wp:inline distT="0" distB="0" distL="0" distR="0">
            <wp:extent cx="2526665" cy="2937510"/>
            <wp:effectExtent l="0" t="0" r="6985" b="0"/>
            <wp:docPr id="1" name="Imagen 1" descr="Imagen que contiene interior, cocina, abrir, refrigerado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ior, cocina, abrir, refrigerador&#10;&#10;Descripción generada automáticamente"/>
                    <pic:cNvPicPr>
                      <a:picLocks noChangeAspect="1"/>
                    </pic:cNvPicPr>
                  </pic:nvPicPr>
                  <pic:blipFill>
                    <a:blip r:embed="rId12"/>
                    <a:stretch>
                      <a:fillRect/>
                    </a:stretch>
                  </pic:blipFill>
                  <pic:spPr>
                    <a:xfrm>
                      <a:off x="0" y="0"/>
                      <a:ext cx="2530411" cy="2941759"/>
                    </a:xfrm>
                    <a:prstGeom prst="rect">
                      <a:avLst/>
                    </a:prstGeom>
                  </pic:spPr>
                </pic:pic>
              </a:graphicData>
            </a:graphic>
          </wp:inline>
        </w:drawing>
      </w:r>
    </w:p>
    <w:p>
      <w:pPr>
        <w:pStyle w:val="12"/>
        <w:jc w:val="center"/>
      </w:pPr>
      <w:r>
        <w:t xml:space="preserve">Ilustración </w:t>
      </w:r>
      <w:r>
        <w:fldChar w:fldCharType="begin"/>
      </w:r>
      <w:r>
        <w:instrText xml:space="preserve"> SEQ Ilustración \* ARABIC </w:instrText>
      </w:r>
      <w:r>
        <w:fldChar w:fldCharType="separate"/>
      </w:r>
      <w:r>
        <w:t>1</w:t>
      </w:r>
      <w:r>
        <w:fldChar w:fldCharType="end"/>
      </w:r>
      <w:r>
        <w:t xml:space="preserve"> - "Componentes del SMMC comercial"</w:t>
      </w:r>
    </w:p>
    <w:p>
      <w:r>
        <w:t xml:space="preserve">Considerando lo anterior, se presentará el proceso de mantenimiento de los componentes: </w:t>
      </w:r>
    </w:p>
    <w:p>
      <w:pPr>
        <w:pStyle w:val="24"/>
        <w:numPr>
          <w:ilvl w:val="0"/>
          <w:numId w:val="2"/>
        </w:numPr>
      </w:pPr>
      <w:r>
        <w:t>SGO: Starbeat.</w:t>
      </w:r>
    </w:p>
    <w:p>
      <w:pPr>
        <w:pStyle w:val="24"/>
        <w:numPr>
          <w:ilvl w:val="0"/>
          <w:numId w:val="2"/>
        </w:numPr>
      </w:pPr>
      <w:r>
        <w:t>Unidad de medida: SL7000/EMH</w:t>
      </w:r>
    </w:p>
    <w:p>
      <w:pPr>
        <w:pStyle w:val="24"/>
        <w:numPr>
          <w:ilvl w:val="0"/>
          <w:numId w:val="2"/>
        </w:numPr>
      </w:pPr>
      <w:r>
        <w:t>Almacén de datos/reportes: Spotfire.</w:t>
      </w:r>
    </w:p>
    <w:p/>
    <w:p>
      <w:r>
        <w:t>El SMMC permite gestionar y operar la tecnología de medición inteligente acorde a las exigencias del anexo técnico (AT) 2019.</w:t>
      </w:r>
    </w:p>
    <w:p>
      <w:r>
        <w:t>En este caso particular</w:t>
      </w:r>
      <w:r>
        <w:rPr>
          <w:rFonts w:hint="default"/>
          <w:lang w:val="es-CL"/>
        </w:rPr>
        <w:t>,</w:t>
      </w:r>
      <w:r>
        <w:t xml:space="preserve"> veremos cómo se realiza el mantenimiento de las componentes del sistema</w:t>
      </w:r>
      <w:r>
        <w:rPr>
          <w:rFonts w:hint="default"/>
          <w:lang w:val="es-CL"/>
        </w:rPr>
        <w:t xml:space="preserve"> solución comercial punto a punto</w:t>
      </w:r>
      <w:r>
        <w:t xml:space="preserve">. </w:t>
      </w:r>
    </w:p>
    <w:p/>
    <w:p>
      <w:pPr>
        <w:rPr>
          <w:b/>
          <w:bCs/>
        </w:rPr>
      </w:pPr>
      <w:r>
        <w:rPr>
          <w:b/>
          <w:bCs/>
        </w:rPr>
        <w:t xml:space="preserve">Detección – Monitoreo </w:t>
      </w:r>
      <w:r>
        <w:rPr>
          <w:rFonts w:hint="default"/>
          <w:b/>
          <w:bCs/>
          <w:lang w:val="es-CL"/>
        </w:rPr>
        <w:t xml:space="preserve">a través de </w:t>
      </w:r>
      <w:r>
        <w:rPr>
          <w:b/>
          <w:bCs/>
        </w:rPr>
        <w:t>Starbeat:</w:t>
      </w:r>
    </w:p>
    <w:p>
      <w:pPr>
        <w:pStyle w:val="24"/>
        <w:numPr>
          <w:ilvl w:val="0"/>
          <w:numId w:val="3"/>
        </w:numPr>
      </w:pPr>
      <w:r>
        <w:rPr>
          <w:b/>
          <w:bCs/>
        </w:rPr>
        <w:t xml:space="preserve">Informe Starbeat: </w:t>
      </w:r>
      <w:r>
        <w:t>Para el caso de la detección de los problemas que presenten los componentes del sistema, Starbeat cuenta con un reporte que extrae los intentos de comunicación con los medidores cargados en él. De tal forma que se pueden identificar aquellos medidores que presenten problemas en su conectividad:</w:t>
      </w:r>
    </w:p>
    <w:p/>
    <w:p>
      <w:pPr>
        <w:keepNext/>
        <w:jc w:val="center"/>
      </w:pPr>
      <w:r>
        <w:drawing>
          <wp:inline distT="0" distB="0" distL="0" distR="0">
            <wp:extent cx="5784215" cy="2911475"/>
            <wp:effectExtent l="0" t="0" r="6985" b="3175"/>
            <wp:docPr id="2" name="Imagen 2"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Aplicación, Tabla&#10;&#10;Descripción generada automáticamente"/>
                    <pic:cNvPicPr>
                      <a:picLocks noChangeAspect="1"/>
                    </pic:cNvPicPr>
                  </pic:nvPicPr>
                  <pic:blipFill>
                    <a:blip r:embed="rId13"/>
                    <a:stretch>
                      <a:fillRect/>
                    </a:stretch>
                  </pic:blipFill>
                  <pic:spPr>
                    <a:xfrm>
                      <a:off x="0" y="0"/>
                      <a:ext cx="5784215" cy="2911475"/>
                    </a:xfrm>
                    <a:prstGeom prst="rect">
                      <a:avLst/>
                    </a:prstGeom>
                  </pic:spPr>
                </pic:pic>
              </a:graphicData>
            </a:graphic>
          </wp:inline>
        </w:drawing>
      </w:r>
    </w:p>
    <w:p>
      <w:pPr>
        <w:pStyle w:val="12"/>
        <w:jc w:val="center"/>
      </w:pPr>
      <w:r>
        <w:t xml:space="preserve">Ilustración </w:t>
      </w:r>
      <w:r>
        <w:fldChar w:fldCharType="begin"/>
      </w:r>
      <w:r>
        <w:instrText xml:space="preserve"> SEQ Ilustración \* ARABIC </w:instrText>
      </w:r>
      <w:r>
        <w:fldChar w:fldCharType="separate"/>
      </w:r>
      <w:r>
        <w:t>2</w:t>
      </w:r>
      <w:r>
        <w:fldChar w:fldCharType="end"/>
      </w:r>
      <w:r>
        <w:t xml:space="preserve"> - "Detalles de error"</w:t>
      </w:r>
    </w:p>
    <w:p/>
    <w:p>
      <w:r>
        <w:t xml:space="preserve">Además, desde la descripción de los errores que se presentan dentro del informe, es posible identificar problemas lógicos de conexión que pueden estar referidos a problemas con los puertos a través de los que se realiza la comunicación. </w:t>
      </w:r>
    </w:p>
    <w:p/>
    <w:p>
      <w:r>
        <w:t>Para el caso de la extracción de esta información, esta viene con la identificación del error, el medidor al que pertenece, el módulo de comunicación utilizado, el estado de la consulta que se intentó realizar, entre otros.</w:t>
      </w:r>
    </w:p>
    <w:p/>
    <w:p/>
    <w:p/>
    <w:p>
      <w:pPr>
        <w:pStyle w:val="24"/>
        <w:numPr>
          <w:ilvl w:val="0"/>
          <w:numId w:val="3"/>
        </w:numPr>
      </w:pPr>
      <w:r>
        <w:rPr>
          <w:b/>
          <w:bCs/>
        </w:rPr>
        <w:t>Reportería Starbeat:</w:t>
      </w:r>
      <w:r>
        <w:t xml:space="preserve"> </w:t>
      </w:r>
    </w:p>
    <w:p>
      <w:r>
        <w:t xml:space="preserve">Con el objetivo de tener control sobre el estado de los medidores, la solución comercial de Enel cuenta con un servicio de reportería en spotfire, uno de estos reportes es el de comunicaciones, que se encarga de realizar ping de forma constante a los medidores cargados en el sistema. </w:t>
      </w:r>
    </w:p>
    <w:p>
      <w:r>
        <w:t>De tal forma que se pueda detectar aquellos medidores que se encuentran inalcanzables o han tenido algún problema de conectividad en el periodo de tiempo consultado.</w:t>
      </w:r>
    </w:p>
    <w:p/>
    <w:p>
      <w:pPr>
        <w:keepNext/>
        <w:jc w:val="center"/>
      </w:pPr>
      <w:r>
        <w:drawing>
          <wp:inline distT="0" distB="0" distL="0" distR="0">
            <wp:extent cx="4072890" cy="2139315"/>
            <wp:effectExtent l="0" t="0" r="3810" b="0"/>
            <wp:docPr id="4" name="Imagen 4" descr="Interfaz de usuario gráfica, Aplicación, 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 Tabla, Excel&#10;&#10;Descripción generada automáticamente"/>
                    <pic:cNvPicPr>
                      <a:picLocks noChangeAspect="1"/>
                    </pic:cNvPicPr>
                  </pic:nvPicPr>
                  <pic:blipFill>
                    <a:blip r:embed="rId14"/>
                    <a:stretch>
                      <a:fillRect/>
                    </a:stretch>
                  </pic:blipFill>
                  <pic:spPr>
                    <a:xfrm>
                      <a:off x="0" y="0"/>
                      <a:ext cx="4079766" cy="2143186"/>
                    </a:xfrm>
                    <a:prstGeom prst="rect">
                      <a:avLst/>
                    </a:prstGeom>
                  </pic:spPr>
                </pic:pic>
              </a:graphicData>
            </a:graphic>
          </wp:inline>
        </w:drawing>
      </w:r>
    </w:p>
    <w:p>
      <w:pPr>
        <w:pStyle w:val="12"/>
        <w:jc w:val="center"/>
      </w:pPr>
      <w:r>
        <w:t xml:space="preserve">Ilustración </w:t>
      </w:r>
      <w:r>
        <w:fldChar w:fldCharType="begin"/>
      </w:r>
      <w:r>
        <w:instrText xml:space="preserve"> SEQ Ilustración \* ARABIC </w:instrText>
      </w:r>
      <w:r>
        <w:fldChar w:fldCharType="separate"/>
      </w:r>
      <w:r>
        <w:t>3</w:t>
      </w:r>
      <w:r>
        <w:fldChar w:fldCharType="end"/>
      </w:r>
      <w:r>
        <w:t xml:space="preserve"> - "Reporte de comunicaciones"</w:t>
      </w:r>
    </w:p>
    <w:p>
      <w:r>
        <w:t>El criterio que tiene este reporte para asignar los colores es el siguiente:</w:t>
      </w:r>
    </w:p>
    <w:p>
      <w:pPr>
        <w:pStyle w:val="24"/>
        <w:numPr>
          <w:ilvl w:val="0"/>
          <w:numId w:val="4"/>
        </w:numPr>
      </w:pPr>
      <w:r>
        <w:t xml:space="preserve">Rojo: Falla de conexión, </w:t>
      </w:r>
      <w:r>
        <w:rPr>
          <w:lang w:val="es-CL"/>
        </w:rPr>
        <w:t>módem</w:t>
      </w:r>
      <w:r>
        <w:t xml:space="preserve"> apagado y efectividad menor al 50%.</w:t>
      </w:r>
    </w:p>
    <w:p>
      <w:pPr>
        <w:pStyle w:val="24"/>
        <w:numPr>
          <w:ilvl w:val="0"/>
          <w:numId w:val="4"/>
        </w:numPr>
      </w:pPr>
      <w:r>
        <w:t>Amarillo: conexión con latencia de conexión. Entre [50% y 70%].</w:t>
      </w:r>
    </w:p>
    <w:p>
      <w:pPr>
        <w:pStyle w:val="24"/>
        <w:numPr>
          <w:ilvl w:val="0"/>
          <w:numId w:val="4"/>
        </w:numPr>
      </w:pPr>
      <w:r>
        <w:t>Verde: 100% operativa, sobre 70% de efectividad.</w:t>
      </w:r>
    </w:p>
    <w:p>
      <w:pPr>
        <w:rPr>
          <w:rFonts w:hint="default"/>
          <w:lang w:val="es-CL"/>
        </w:rPr>
      </w:pPr>
    </w:p>
    <w:p>
      <w:pPr>
        <w:numPr>
          <w:numId w:val="0"/>
        </w:numPr>
        <w:spacing w:line="360" w:lineRule="auto"/>
        <w:ind w:leftChars="0"/>
        <w:jc w:val="both"/>
        <w:rPr>
          <w:rFonts w:hint="default"/>
          <w:b w:val="0"/>
          <w:bCs w:val="0"/>
          <w:lang w:val="es-CL"/>
        </w:rPr>
      </w:pPr>
      <w:r>
        <w:rPr>
          <w:rFonts w:hint="default"/>
          <w:lang w:val="es-CL"/>
        </w:rPr>
        <w:t>De manera adicional, se utiliza la plataforma OPENGATE descrita en el apartado</w:t>
      </w:r>
      <w:r>
        <w:rPr>
          <w:rFonts w:hint="default"/>
          <w:b w:val="0"/>
          <w:bCs w:val="0"/>
          <w:lang w:val="es-CL"/>
        </w:rPr>
        <w:t xml:space="preserve"> “d. </w:t>
      </w:r>
      <w:r>
        <w:rPr>
          <w:rFonts w:hint="default"/>
          <w:b w:val="0"/>
          <w:bCs w:val="0"/>
          <w:sz w:val="20"/>
          <w:szCs w:val="20"/>
          <w:lang w:val="es-CL"/>
        </w:rPr>
        <w:t>Servicio Móvil - GPRS / 3G / LTE (Sistema de comunicaciones)” del documento “ID-001_Mantenimiento Componentes SMMC”, para el monitoreo constante de dicho servicio Móvil.</w:t>
      </w:r>
    </w:p>
    <w:p>
      <w:pPr>
        <w:rPr>
          <w:rFonts w:hint="default"/>
          <w:lang w:val="es-CL"/>
        </w:rPr>
      </w:pPr>
    </w:p>
    <w:p>
      <w:r>
        <w:rPr>
          <w:rFonts w:hint="default"/>
          <w:lang w:val="es-CL"/>
        </w:rPr>
        <w:t>Finalmente</w:t>
      </w:r>
      <w:r>
        <w:t xml:space="preserve">, </w:t>
      </w:r>
      <w:r>
        <w:rPr>
          <w:rFonts w:hint="default"/>
          <w:lang w:val="es-CL"/>
        </w:rPr>
        <w:t>para</w:t>
      </w:r>
      <w:r>
        <w:t xml:space="preserve"> asegurar el registro del comportamiento de los medidores cargados, se tiene el reporte de “Eventos e intervalos perdidos”, el cual permite extraer por un periodo definido la cantidad de lecturas que el sistema es capaz de extraer en un periodo de tiempo dado.</w:t>
      </w:r>
    </w:p>
    <w:p/>
    <w:p>
      <w:pPr>
        <w:keepNext/>
        <w:jc w:val="center"/>
      </w:pPr>
      <w:r>
        <w:drawing>
          <wp:inline distT="0" distB="0" distL="0" distR="0">
            <wp:extent cx="5605145" cy="1125855"/>
            <wp:effectExtent l="0" t="0" r="0" b="0"/>
            <wp:docPr id="5" name="Imagen 5"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abla&#10;&#10;Descripción generada automáticamente con confianza baja"/>
                    <pic:cNvPicPr>
                      <a:picLocks noChangeAspect="1"/>
                    </pic:cNvPicPr>
                  </pic:nvPicPr>
                  <pic:blipFill>
                    <a:blip r:embed="rId15"/>
                    <a:stretch>
                      <a:fillRect/>
                    </a:stretch>
                  </pic:blipFill>
                  <pic:spPr>
                    <a:xfrm>
                      <a:off x="0" y="0"/>
                      <a:ext cx="5609843" cy="1127362"/>
                    </a:xfrm>
                    <a:prstGeom prst="rect">
                      <a:avLst/>
                    </a:prstGeom>
                  </pic:spPr>
                </pic:pic>
              </a:graphicData>
            </a:graphic>
          </wp:inline>
        </w:drawing>
      </w:r>
    </w:p>
    <w:p>
      <w:pPr>
        <w:pStyle w:val="12"/>
        <w:jc w:val="center"/>
      </w:pPr>
      <w:r>
        <w:t xml:space="preserve">Ilustración </w:t>
      </w:r>
      <w:r>
        <w:fldChar w:fldCharType="begin"/>
      </w:r>
      <w:r>
        <w:instrText xml:space="preserve"> SEQ Ilustración \* ARABIC </w:instrText>
      </w:r>
      <w:r>
        <w:fldChar w:fldCharType="separate"/>
      </w:r>
      <w:r>
        <w:t>4</w:t>
      </w:r>
      <w:r>
        <w:fldChar w:fldCharType="end"/>
      </w:r>
      <w:r>
        <w:t xml:space="preserve"> - "Reporte de eventos e intervalos"</w:t>
      </w:r>
    </w:p>
    <w:p>
      <w:pPr>
        <w:pStyle w:val="24"/>
        <w:numPr>
          <w:ilvl w:val="0"/>
          <w:numId w:val="3"/>
        </w:numPr>
        <w:rPr>
          <w:b/>
          <w:bCs/>
        </w:rPr>
      </w:pPr>
      <w:r>
        <w:rPr>
          <w:b/>
          <w:bCs/>
        </w:rPr>
        <w:t>Actualización de componentes:</w:t>
      </w:r>
    </w:p>
    <w:p>
      <w:r>
        <w:t>Para el caso de mantenimiento de componentes, ya sea por falla en su operación, cambios o man</w:t>
      </w:r>
      <w:r>
        <w:rPr>
          <w:rFonts w:hint="default"/>
          <w:lang w:val="es-CL"/>
        </w:rPr>
        <w:t xml:space="preserve">tenimiento </w:t>
      </w:r>
      <w:r>
        <w:t>programad</w:t>
      </w:r>
      <w:r>
        <w:rPr>
          <w:rFonts w:hint="default"/>
          <w:lang w:val="es-CL"/>
        </w:rPr>
        <w:t>o</w:t>
      </w:r>
      <w:r>
        <w:t>, Starbeat tiene un módulo de edición que permite reemplazar los componentes que se encuentran cargados:</w:t>
      </w:r>
    </w:p>
    <w:p/>
    <w:p>
      <w:pPr>
        <w:keepNext/>
        <w:spacing w:line="276" w:lineRule="auto"/>
        <w:jc w:val="center"/>
      </w:pPr>
      <w:r>
        <w:drawing>
          <wp:inline distT="0" distB="0" distL="0" distR="0">
            <wp:extent cx="5499735" cy="2470150"/>
            <wp:effectExtent l="0" t="0" r="5715" b="6350"/>
            <wp:docPr id="6" name="Imagen 6" descr="Una captura de pantalla de una red soc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Una captura de pantalla de una red social&#10;&#10;Descripción generada automáticamente"/>
                    <pic:cNvPicPr>
                      <a:picLocks noChangeAspect="1"/>
                    </pic:cNvPicPr>
                  </pic:nvPicPr>
                  <pic:blipFill>
                    <a:blip r:embed="rId16"/>
                    <a:stretch>
                      <a:fillRect/>
                    </a:stretch>
                  </pic:blipFill>
                  <pic:spPr>
                    <a:xfrm>
                      <a:off x="0" y="0"/>
                      <a:ext cx="5502057" cy="2471223"/>
                    </a:xfrm>
                    <a:prstGeom prst="rect">
                      <a:avLst/>
                    </a:prstGeom>
                  </pic:spPr>
                </pic:pic>
              </a:graphicData>
            </a:graphic>
          </wp:inline>
        </w:drawing>
      </w:r>
    </w:p>
    <w:p>
      <w:pPr>
        <w:pStyle w:val="12"/>
        <w:jc w:val="center"/>
      </w:pPr>
      <w:r>
        <w:t xml:space="preserve">Ilustración </w:t>
      </w:r>
      <w:r>
        <w:fldChar w:fldCharType="begin"/>
      </w:r>
      <w:r>
        <w:instrText xml:space="preserve"> SEQ Ilustración \* ARABIC </w:instrText>
      </w:r>
      <w:r>
        <w:fldChar w:fldCharType="separate"/>
      </w:r>
      <w:r>
        <w:t>5</w:t>
      </w:r>
      <w:r>
        <w:fldChar w:fldCharType="end"/>
      </w:r>
      <w:r>
        <w:t xml:space="preserve"> - "Selección de edición SBT"</w:t>
      </w:r>
    </w:p>
    <w:p>
      <w:r>
        <w:t xml:space="preserve">Como se trata de la actualización de un componente es necesario realizar la búsqueda del medidor/transformador que se desea actualizar. Los criterios de búsqueda disponibles se pueden observar en la ilustración 5 – “Selección de edición SBT”. </w:t>
      </w:r>
    </w:p>
    <w:p/>
    <w:p>
      <w:pPr>
        <w:keepNext/>
        <w:jc w:val="center"/>
      </w:pPr>
      <w:r>
        <w:drawing>
          <wp:inline distT="0" distB="0" distL="0" distR="0">
            <wp:extent cx="5327015" cy="2633980"/>
            <wp:effectExtent l="0" t="0" r="6985" b="0"/>
            <wp:docPr id="8" name="Imagen 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Aplicación&#10;&#10;Descripción generada automáticamente"/>
                    <pic:cNvPicPr>
                      <a:picLocks noChangeAspect="1"/>
                    </pic:cNvPicPr>
                  </pic:nvPicPr>
                  <pic:blipFill>
                    <a:blip r:embed="rId17"/>
                    <a:stretch>
                      <a:fillRect/>
                    </a:stretch>
                  </pic:blipFill>
                  <pic:spPr>
                    <a:xfrm>
                      <a:off x="0" y="0"/>
                      <a:ext cx="5353490" cy="2647574"/>
                    </a:xfrm>
                    <a:prstGeom prst="rect">
                      <a:avLst/>
                    </a:prstGeom>
                  </pic:spPr>
                </pic:pic>
              </a:graphicData>
            </a:graphic>
          </wp:inline>
        </w:drawing>
      </w:r>
    </w:p>
    <w:p>
      <w:pPr>
        <w:pStyle w:val="12"/>
        <w:jc w:val="center"/>
      </w:pPr>
      <w:r>
        <w:t xml:space="preserve">Ilustración </w:t>
      </w:r>
      <w:r>
        <w:fldChar w:fldCharType="begin"/>
      </w:r>
      <w:r>
        <w:instrText xml:space="preserve"> SEQ Ilustración \* ARABIC </w:instrText>
      </w:r>
      <w:r>
        <w:fldChar w:fldCharType="separate"/>
      </w:r>
      <w:r>
        <w:t>6</w:t>
      </w:r>
      <w:r>
        <w:fldChar w:fldCharType="end"/>
      </w:r>
      <w:r>
        <w:t xml:space="preserve"> - "Vista de edición SBT"</w:t>
      </w:r>
    </w:p>
    <w:p>
      <w:r>
        <w:t>Desde la vista de edición de Starbeat, se encuentran los campos disponibles para poder realizar la actualización, de los componentes requeridos, divididos en dos pestañas principales “Módulo de medidor” y “Módulo de comunicación”, como tal cada pestaña puede actualizar un componente en específico.</w:t>
      </w:r>
    </w:p>
    <w:p/>
    <w:p>
      <w:pPr>
        <w:pStyle w:val="24"/>
        <w:numPr>
          <w:ilvl w:val="0"/>
          <w:numId w:val="5"/>
        </w:numPr>
      </w:pPr>
      <w:r>
        <w:t xml:space="preserve">Módulo de medidor: en este apartado podemos realizar cambios al fabricante del medidor, su modelo, versión de firmware, perfil asociado, propiedad, sector de facturación, año de fabricación, serie del medidor, HDLC. </w:t>
      </w:r>
    </w:p>
    <w:p>
      <w:pPr>
        <w:pStyle w:val="24"/>
        <w:numPr>
          <w:ilvl w:val="0"/>
          <w:numId w:val="5"/>
        </w:numPr>
      </w:pPr>
      <w:r>
        <w:t>Desde la edición del medidor se puede gestionar las relaciones de transformación de los transformadores, así como también la unidad de medida en la que se capturan los valores.</w:t>
      </w:r>
    </w:p>
    <w:p>
      <w:pPr>
        <w:pStyle w:val="24"/>
      </w:pPr>
    </w:p>
    <w:p>
      <w:pPr>
        <w:keepNext/>
        <w:jc w:val="center"/>
      </w:pPr>
      <w:r>
        <w:drawing>
          <wp:inline distT="0" distB="0" distL="0" distR="0">
            <wp:extent cx="5640070" cy="2792095"/>
            <wp:effectExtent l="0" t="0" r="0" b="8255"/>
            <wp:docPr id="9" name="Imagen 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 Aplicación&#10;&#10;Descripción generada automáticamente"/>
                    <pic:cNvPicPr>
                      <a:picLocks noChangeAspect="1"/>
                    </pic:cNvPicPr>
                  </pic:nvPicPr>
                  <pic:blipFill>
                    <a:blip r:embed="rId18"/>
                    <a:stretch>
                      <a:fillRect/>
                    </a:stretch>
                  </pic:blipFill>
                  <pic:spPr>
                    <a:xfrm>
                      <a:off x="0" y="0"/>
                      <a:ext cx="5644636" cy="2794577"/>
                    </a:xfrm>
                    <a:prstGeom prst="rect">
                      <a:avLst/>
                    </a:prstGeom>
                  </pic:spPr>
                </pic:pic>
              </a:graphicData>
            </a:graphic>
          </wp:inline>
        </w:drawing>
      </w:r>
    </w:p>
    <w:p>
      <w:pPr>
        <w:pStyle w:val="12"/>
        <w:jc w:val="center"/>
      </w:pPr>
      <w:r>
        <w:t xml:space="preserve">Ilustración </w:t>
      </w:r>
      <w:r>
        <w:fldChar w:fldCharType="begin"/>
      </w:r>
      <w:r>
        <w:instrText xml:space="preserve"> SEQ Ilustración \* ARABIC </w:instrText>
      </w:r>
      <w:r>
        <w:fldChar w:fldCharType="separate"/>
      </w:r>
      <w:r>
        <w:t>7</w:t>
      </w:r>
      <w:r>
        <w:fldChar w:fldCharType="end"/>
      </w:r>
      <w:r>
        <w:t xml:space="preserve"> - "Configuración de constantes"</w:t>
      </w:r>
    </w:p>
    <w:p>
      <w:r>
        <w:t>Desde el apartado de configuración de constantes, podemos afectar el comportamiento del perfil de energía y de los registros. Como caso de ejemplo podemos definir lo siguiente:</w:t>
      </w:r>
    </w:p>
    <w:p>
      <w:r>
        <w:t xml:space="preserve">Un medidor SL7000 captura su curva de carga en una unidad de medida Wh, al momento de presentar la información por defecto Starbeat la interpreta como kWh, generando que los registros que se toman escapen de lo capturado. Para trabajar esta diferencia, podemos definir en el apartado “Perfil de energía” una Cte interna de 0,001 en unidad de medida kWh (ver ilustración 9 – “Perfil de energía con constante configurada”). </w:t>
      </w:r>
    </w:p>
    <w:p>
      <w:r>
        <w:t>En caso de no definir un perfil de energía, los valores que muestra Starbeat son exactamente los mismos que los capturados por el medidor con una unidad de medida en kWh, véase la ilustración 8 – “Perfil de energía sin constante configurada”.</w:t>
      </w:r>
    </w:p>
    <w:p/>
    <w:p>
      <w:pPr>
        <w:keepNext/>
      </w:pPr>
      <w:r>
        <w:drawing>
          <wp:inline distT="0" distB="0" distL="0" distR="0">
            <wp:extent cx="5943600" cy="2789555"/>
            <wp:effectExtent l="0" t="0" r="0" b="0"/>
            <wp:docPr id="11" name="Imagen 1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nterfaz de usuario gráfica, Aplicación, Tabla&#10;&#10;Descripción generada automáticamente"/>
                    <pic:cNvPicPr>
                      <a:picLocks noChangeAspect="1"/>
                    </pic:cNvPicPr>
                  </pic:nvPicPr>
                  <pic:blipFill>
                    <a:blip r:embed="rId19"/>
                    <a:stretch>
                      <a:fillRect/>
                    </a:stretch>
                  </pic:blipFill>
                  <pic:spPr>
                    <a:xfrm>
                      <a:off x="0" y="0"/>
                      <a:ext cx="5943600" cy="2789555"/>
                    </a:xfrm>
                    <a:prstGeom prst="rect">
                      <a:avLst/>
                    </a:prstGeom>
                  </pic:spPr>
                </pic:pic>
              </a:graphicData>
            </a:graphic>
          </wp:inline>
        </w:drawing>
      </w:r>
    </w:p>
    <w:p>
      <w:pPr>
        <w:pStyle w:val="12"/>
        <w:jc w:val="center"/>
      </w:pPr>
      <w:r>
        <w:t xml:space="preserve">Ilustración </w:t>
      </w:r>
      <w:r>
        <w:fldChar w:fldCharType="begin"/>
      </w:r>
      <w:r>
        <w:instrText xml:space="preserve"> SEQ Ilustración \* ARABIC </w:instrText>
      </w:r>
      <w:r>
        <w:fldChar w:fldCharType="separate"/>
      </w:r>
      <w:r>
        <w:t>8</w:t>
      </w:r>
      <w:r>
        <w:fldChar w:fldCharType="end"/>
      </w:r>
      <w:r>
        <w:t xml:space="preserve"> - "Perfil de energía sin constante configurada"</w:t>
      </w:r>
    </w:p>
    <w:p/>
    <w:p>
      <w:pPr>
        <w:keepNext/>
        <w:spacing w:line="276" w:lineRule="auto"/>
      </w:pPr>
      <w:r>
        <w:drawing>
          <wp:inline distT="0" distB="0" distL="0" distR="0">
            <wp:extent cx="5943600" cy="2941955"/>
            <wp:effectExtent l="0" t="0" r="0" b="0"/>
            <wp:docPr id="10" name="Imagen 1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abla&#10;&#10;Descripción generada automáticamente"/>
                    <pic:cNvPicPr>
                      <a:picLocks noChangeAspect="1"/>
                    </pic:cNvPicPr>
                  </pic:nvPicPr>
                  <pic:blipFill>
                    <a:blip r:embed="rId20"/>
                    <a:stretch>
                      <a:fillRect/>
                    </a:stretch>
                  </pic:blipFill>
                  <pic:spPr>
                    <a:xfrm>
                      <a:off x="0" y="0"/>
                      <a:ext cx="5943600" cy="2941955"/>
                    </a:xfrm>
                    <a:prstGeom prst="rect">
                      <a:avLst/>
                    </a:prstGeom>
                  </pic:spPr>
                </pic:pic>
              </a:graphicData>
            </a:graphic>
          </wp:inline>
        </w:drawing>
      </w:r>
    </w:p>
    <w:p>
      <w:pPr>
        <w:pStyle w:val="12"/>
        <w:jc w:val="center"/>
        <w:rPr>
          <w:sz w:val="32"/>
          <w:szCs w:val="32"/>
        </w:rPr>
      </w:pPr>
      <w:r>
        <w:t xml:space="preserve">Ilustración </w:t>
      </w:r>
      <w:r>
        <w:fldChar w:fldCharType="begin"/>
      </w:r>
      <w:r>
        <w:instrText xml:space="preserve"> SEQ Ilustración \* ARABIC </w:instrText>
      </w:r>
      <w:r>
        <w:fldChar w:fldCharType="separate"/>
      </w:r>
      <w:r>
        <w:t>9</w:t>
      </w:r>
      <w:r>
        <w:fldChar w:fldCharType="end"/>
      </w:r>
      <w:r>
        <w:t xml:space="preserve"> - "Perfil de energía con constante configurada"</w:t>
      </w:r>
    </w:p>
    <w:p>
      <w:pPr>
        <w:spacing w:line="276" w:lineRule="auto"/>
        <w:rPr>
          <w:sz w:val="32"/>
          <w:szCs w:val="32"/>
        </w:rPr>
      </w:pPr>
    </w:p>
    <w:p>
      <w:pPr>
        <w:spacing w:line="276" w:lineRule="auto"/>
        <w:rPr>
          <w:sz w:val="32"/>
          <w:szCs w:val="32"/>
        </w:rPr>
      </w:pPr>
    </w:p>
    <w:p>
      <w:pPr>
        <w:pStyle w:val="24"/>
        <w:numPr>
          <w:ilvl w:val="0"/>
          <w:numId w:val="6"/>
        </w:numPr>
      </w:pPr>
      <w:r>
        <w:t>Módulo de comunicación: desde este apartado se puede gestionar el modem que se encuentra configurado en el punto, de tal forma que ante un eventual reemplazo es posible actualizar el componente completo o parte de este, estableciendo el tipo de comunicación junto con la IP asociada a el en el caso de un reemplazo de simcard.</w:t>
      </w:r>
    </w:p>
    <w:p>
      <w:pPr>
        <w:ind w:left="360"/>
      </w:pPr>
    </w:p>
    <w:p>
      <w:pPr>
        <w:keepNext/>
        <w:ind w:left="360"/>
        <w:jc w:val="center"/>
      </w:pPr>
      <w:r>
        <w:drawing>
          <wp:inline distT="0" distB="0" distL="0" distR="0">
            <wp:extent cx="4594225" cy="1898650"/>
            <wp:effectExtent l="0" t="0" r="0" b="6350"/>
            <wp:docPr id="12" name="Imagen 1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nterfaz de usuario gráfica, Texto, Aplicación&#10;&#10;Descripción generada automáticamente"/>
                    <pic:cNvPicPr>
                      <a:picLocks noChangeAspect="1"/>
                    </pic:cNvPicPr>
                  </pic:nvPicPr>
                  <pic:blipFill>
                    <a:blip r:embed="rId21"/>
                    <a:stretch>
                      <a:fillRect/>
                    </a:stretch>
                  </pic:blipFill>
                  <pic:spPr>
                    <a:xfrm>
                      <a:off x="0" y="0"/>
                      <a:ext cx="4605413" cy="1903177"/>
                    </a:xfrm>
                    <a:prstGeom prst="rect">
                      <a:avLst/>
                    </a:prstGeom>
                  </pic:spPr>
                </pic:pic>
              </a:graphicData>
            </a:graphic>
          </wp:inline>
        </w:drawing>
      </w:r>
    </w:p>
    <w:p>
      <w:pPr>
        <w:pStyle w:val="12"/>
        <w:jc w:val="center"/>
      </w:pPr>
      <w:r>
        <w:t xml:space="preserve">Ilustración </w:t>
      </w:r>
      <w:r>
        <w:fldChar w:fldCharType="begin"/>
      </w:r>
      <w:r>
        <w:instrText xml:space="preserve"> SEQ Ilustración \* ARABIC </w:instrText>
      </w:r>
      <w:r>
        <w:fldChar w:fldCharType="separate"/>
      </w:r>
      <w:r>
        <w:t>10</w:t>
      </w:r>
      <w:r>
        <w:fldChar w:fldCharType="end"/>
      </w:r>
      <w:r>
        <w:t xml:space="preserve"> - "Modulo de comunicación configuración IP"</w:t>
      </w:r>
    </w:p>
    <w:p>
      <w:r>
        <w:t xml:space="preserve">Así como también cambiar el </w:t>
      </w:r>
      <w:r>
        <w:rPr>
          <w:lang w:val="es-CL"/>
        </w:rPr>
        <w:t>módem</w:t>
      </w:r>
      <w:r>
        <w:t xml:space="preserve"> configurado, tanto fabricante, modelo y firmware. </w:t>
      </w:r>
    </w:p>
    <w:p/>
    <w:p>
      <w:pPr>
        <w:rPr>
          <w:rFonts w:hint="default"/>
          <w:lang w:val="es-CL"/>
        </w:rPr>
      </w:pPr>
      <w:r>
        <w:t xml:space="preserve">Nota: </w:t>
      </w:r>
      <w:r>
        <w:rPr>
          <w:rFonts w:hint="default"/>
          <w:lang w:val="es-CL"/>
        </w:rPr>
        <w:t>L</w:t>
      </w:r>
      <w:r>
        <w:t xml:space="preserve">as indicaciones realizadas en este documento se basan en el documento </w:t>
      </w:r>
      <w:r>
        <w:rPr>
          <w:rFonts w:hint="default"/>
          <w:lang w:val="es-CL"/>
        </w:rPr>
        <w:t>“</w:t>
      </w:r>
      <w:r>
        <w:rPr>
          <w:rFonts w:hint="default"/>
        </w:rPr>
        <w:t>15.Starbeat_UserManual_ver. 4.4</w:t>
      </w:r>
      <w:r>
        <w:rPr>
          <w:rFonts w:hint="default"/>
          <w:lang w:val="es-CL"/>
        </w:rPr>
        <w:t>.</w:t>
      </w:r>
      <w:r>
        <w:t>docx</w:t>
      </w:r>
      <w:r>
        <w:rPr>
          <w:rFonts w:hint="default"/>
          <w:lang w:val="es-CL"/>
        </w:rPr>
        <w:t>”.</w:t>
      </w:r>
    </w:p>
    <w:p/>
    <w:p>
      <w:pPr>
        <w:spacing w:line="276" w:lineRule="auto"/>
        <w:rPr>
          <w:sz w:val="32"/>
          <w:szCs w:val="32"/>
        </w:rPr>
      </w:pPr>
    </w:p>
    <w:p>
      <w:pPr>
        <w:pStyle w:val="24"/>
        <w:numPr>
          <w:ilvl w:val="0"/>
          <w:numId w:val="3"/>
        </w:numPr>
        <w:rPr>
          <w:b/>
          <w:bCs/>
        </w:rPr>
      </w:pPr>
      <w:r>
        <w:rPr>
          <w:rFonts w:hint="default"/>
          <w:b/>
          <w:bCs/>
          <w:lang w:val="es-CL"/>
        </w:rPr>
        <w:t>Soporte plataforma Starbeat</w:t>
      </w:r>
      <w:r>
        <w:rPr>
          <w:b/>
          <w:bCs/>
        </w:rPr>
        <w:t>:</w:t>
      </w:r>
    </w:p>
    <w:p>
      <w:pPr>
        <w:spacing w:line="276" w:lineRule="auto"/>
        <w:rPr>
          <w:sz w:val="32"/>
          <w:szCs w:val="32"/>
        </w:rPr>
      </w:pPr>
    </w:p>
    <w:p>
      <w:pPr>
        <w:rPr>
          <w:rFonts w:hint="default"/>
          <w:lang w:val="es-CL"/>
        </w:rPr>
      </w:pPr>
      <w:r>
        <w:rPr>
          <w:rFonts w:hint="default"/>
          <w:lang w:val="es-CL"/>
        </w:rPr>
        <w:t>El soporte de la plataforma primer nivel, se describe en el documento “ 20.StarBeat - First Level Support - v2”. El soporte de la plataforma, módulos y servidores, están bajo un contrato global. Las incidencias sobre la plataforma, se escalan a través de un sistema de Ticket.</w:t>
      </w:r>
    </w:p>
    <w:p>
      <w:pPr>
        <w:rPr>
          <w:rFonts w:hint="default"/>
          <w:lang w:val="es-CL"/>
        </w:rPr>
      </w:pPr>
    </w:p>
    <w:p>
      <w:pPr>
        <w:rPr>
          <w:rFonts w:hint="default"/>
          <w:lang w:val="es-CL"/>
        </w:rPr>
      </w:pPr>
    </w:p>
    <w:p>
      <w:pPr>
        <w:rPr>
          <w:rFonts w:hint="default"/>
          <w:lang w:val="es-CL"/>
        </w:rPr>
      </w:pPr>
    </w:p>
    <w:p>
      <w:pPr>
        <w:spacing w:line="276" w:lineRule="auto"/>
        <w:rPr>
          <w:sz w:val="32"/>
          <w:szCs w:val="32"/>
        </w:rPr>
      </w:pPr>
    </w:p>
    <w:p>
      <w:pPr>
        <w:spacing w:line="276" w:lineRule="auto"/>
        <w:rPr>
          <w:sz w:val="32"/>
          <w:szCs w:val="32"/>
        </w:rPr>
      </w:pPr>
    </w:p>
    <w:p>
      <w:pPr>
        <w:spacing w:line="276" w:lineRule="auto"/>
        <w:rPr>
          <w:sz w:val="32"/>
          <w:szCs w:val="32"/>
        </w:rPr>
      </w:pPr>
    </w:p>
    <w:p>
      <w:pPr>
        <w:spacing w:line="276" w:lineRule="auto"/>
        <w:rPr>
          <w:sz w:val="32"/>
          <w:szCs w:val="32"/>
        </w:rPr>
      </w:pPr>
    </w:p>
    <w:p>
      <w:pPr>
        <w:spacing w:line="276" w:lineRule="auto"/>
        <w:rPr>
          <w:sz w:val="32"/>
          <w:szCs w:val="32"/>
        </w:rPr>
      </w:pPr>
    </w:p>
    <w:p>
      <w:pPr>
        <w:jc w:val="center"/>
        <w:rPr>
          <w:rFonts w:ascii="Helvetica Light" w:hAnsi="Helvetica Light"/>
          <w:b/>
          <w:bCs/>
          <w:szCs w:val="20"/>
          <w:lang w:val="es-ES"/>
        </w:rPr>
      </w:pPr>
      <w:r>
        <w:rPr>
          <w:sz w:val="32"/>
          <w:szCs w:val="32"/>
        </w:rPr>
        <w:t>-FIN DE DOCUMENTO-</w:t>
      </w:r>
    </w:p>
    <w:p>
      <w:pPr>
        <w:rPr>
          <w:rFonts w:ascii="Helvetica Light" w:hAnsi="Helvetica Light"/>
          <w:b/>
          <w:bCs/>
          <w:szCs w:val="20"/>
          <w:lang w:val="es-ES"/>
        </w:rPr>
      </w:pPr>
    </w:p>
    <w:p>
      <w:pPr>
        <w:rPr>
          <w:rFonts w:ascii="Helvetica Light" w:hAnsi="Helvetica Light"/>
          <w:color w:val="FF0000"/>
          <w:szCs w:val="20"/>
          <w:lang w:val="es-ES"/>
        </w:rPr>
      </w:pPr>
    </w:p>
    <w:p>
      <w:pPr>
        <w:rPr>
          <w:rFonts w:ascii="Helvetica Light" w:hAnsi="Helvetica Light"/>
          <w:color w:val="FF0000"/>
          <w:szCs w:val="20"/>
          <w:lang w:val="es-ES"/>
        </w:rPr>
      </w:pPr>
    </w:p>
    <w:p>
      <w:pPr>
        <w:rPr>
          <w:rFonts w:ascii="Helvetica Light" w:hAnsi="Helvetica Light"/>
          <w:color w:val="FF0000"/>
          <w:szCs w:val="20"/>
          <w:lang w:val="es-ES"/>
        </w:rPr>
      </w:pPr>
    </w:p>
    <w:p>
      <w:pPr>
        <w:rPr>
          <w:rFonts w:ascii="Helvetica Light" w:hAnsi="Helvetica Light"/>
          <w:color w:val="FF0000"/>
          <w:szCs w:val="20"/>
          <w:lang w:val="es-ES"/>
        </w:rPr>
      </w:pPr>
    </w:p>
    <w:p>
      <w:pPr>
        <w:rPr>
          <w:rFonts w:ascii="Helvetica Light" w:hAnsi="Helvetica Light"/>
          <w:color w:val="FF0000"/>
          <w:szCs w:val="20"/>
          <w:lang w:val="es-ES"/>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lvetica Neue Light">
    <w:altName w:val="Times New Roma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Helvetica Light">
    <w:altName w:val="AMGDT"/>
    <w:panose1 w:val="00000000000000000000"/>
    <w:charset w:val="00"/>
    <w:family w:val="swiss"/>
    <w:pitch w:val="default"/>
    <w:sig w:usb0="00000000" w:usb1="00000000" w:usb2="00000000" w:usb3="00000000" w:csb0="00000001" w:csb1="00000000"/>
  </w:font>
  <w:font w:name="AMGDT">
    <w:panose1 w:val="02000400000000000000"/>
    <w:charset w:val="00"/>
    <w:family w:val="auto"/>
    <w:pitch w:val="default"/>
    <w:sig w:usb0="80000003" w:usb1="10000000" w:usb2="00000000" w:usb3="00000000" w:csb0="00000001"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jc w:val="center"/>
      <w:rPr>
        <w:rFonts w:ascii="Helvetica Neue Light" w:hAnsi="Helvetica Neue Light" w:eastAsia="Helvetica Neue Light" w:cs="Helvetica Neue Light"/>
        <w:color w:val="000000"/>
        <w:sz w:val="18"/>
        <w:szCs w:val="18"/>
      </w:rPr>
    </w:pPr>
    <w:r>
      <w:rPr>
        <w:rFonts w:ascii="Helvetica Neue Light" w:hAnsi="Helvetica Neue Light" w:eastAsia="Helvetica Neue Light" w:cs="Helvetica Neue Light"/>
        <w:color w:val="000000"/>
        <w:sz w:val="18"/>
        <w:szCs w:val="18"/>
      </w:rPr>
      <w:t xml:space="preserve">Página </w:t>
    </w:r>
    <w:r>
      <w:rPr>
        <w:rFonts w:ascii="Helvetica Neue Light" w:hAnsi="Helvetica Neue Light" w:eastAsia="Helvetica Neue Light" w:cs="Helvetica Neue Light"/>
        <w:color w:val="000000"/>
        <w:sz w:val="18"/>
        <w:szCs w:val="18"/>
      </w:rPr>
      <w:fldChar w:fldCharType="begin"/>
    </w:r>
    <w:r>
      <w:rPr>
        <w:rFonts w:ascii="Helvetica Neue Light" w:hAnsi="Helvetica Neue Light" w:eastAsia="Helvetica Neue Light" w:cs="Helvetica Neue Light"/>
        <w:color w:val="000000"/>
        <w:sz w:val="18"/>
        <w:szCs w:val="18"/>
      </w:rPr>
      <w:instrText xml:space="preserve">PAGE</w:instrText>
    </w:r>
    <w:r>
      <w:rPr>
        <w:rFonts w:ascii="Helvetica Neue Light" w:hAnsi="Helvetica Neue Light" w:eastAsia="Helvetica Neue Light" w:cs="Helvetica Neue Light"/>
        <w:color w:val="000000"/>
        <w:sz w:val="18"/>
        <w:szCs w:val="18"/>
      </w:rPr>
      <w:fldChar w:fldCharType="separate"/>
    </w:r>
    <w:r>
      <w:rPr>
        <w:rFonts w:ascii="Helvetica Neue Light" w:hAnsi="Helvetica Neue Light" w:eastAsia="Helvetica Neue Light" w:cs="Helvetica Neue Light"/>
        <w:color w:val="000000"/>
        <w:sz w:val="18"/>
        <w:szCs w:val="18"/>
      </w:rPr>
      <w:t>2</w:t>
    </w:r>
    <w:r>
      <w:rPr>
        <w:rFonts w:ascii="Helvetica Neue Light" w:hAnsi="Helvetica Neue Light" w:eastAsia="Helvetica Neue Light" w:cs="Helvetica Neue Light"/>
        <w:color w:val="000000"/>
        <w:sz w:val="18"/>
        <w:szCs w:val="18"/>
      </w:rPr>
      <w:fldChar w:fldCharType="end"/>
    </w:r>
    <w:r>
      <w:rPr>
        <w:rFonts w:ascii="Helvetica Neue Light" w:hAnsi="Helvetica Neue Light" w:eastAsia="Helvetica Neue Light" w:cs="Helvetica Neue Light"/>
        <w:color w:val="000000"/>
        <w:sz w:val="18"/>
        <w:szCs w:val="18"/>
      </w:rPr>
      <w:t xml:space="preserve"> de </w:t>
    </w:r>
    <w:r>
      <w:rPr>
        <w:rFonts w:ascii="Helvetica Neue Light" w:hAnsi="Helvetica Neue Light" w:eastAsia="Helvetica Neue Light" w:cs="Helvetica Neue Light"/>
        <w:color w:val="000000"/>
        <w:sz w:val="18"/>
        <w:szCs w:val="18"/>
      </w:rPr>
      <w:fldChar w:fldCharType="begin"/>
    </w:r>
    <w:r>
      <w:rPr>
        <w:rFonts w:ascii="Helvetica Neue Light" w:hAnsi="Helvetica Neue Light" w:eastAsia="Helvetica Neue Light" w:cs="Helvetica Neue Light"/>
        <w:color w:val="000000"/>
        <w:sz w:val="18"/>
        <w:szCs w:val="18"/>
      </w:rPr>
      <w:instrText xml:space="preserve">NUMPAGES</w:instrText>
    </w:r>
    <w:r>
      <w:rPr>
        <w:rFonts w:ascii="Helvetica Neue Light" w:hAnsi="Helvetica Neue Light" w:eastAsia="Helvetica Neue Light" w:cs="Helvetica Neue Light"/>
        <w:color w:val="000000"/>
        <w:sz w:val="18"/>
        <w:szCs w:val="18"/>
      </w:rPr>
      <w:fldChar w:fldCharType="separate"/>
    </w:r>
    <w:r>
      <w:rPr>
        <w:rFonts w:ascii="Helvetica Neue Light" w:hAnsi="Helvetica Neue Light" w:eastAsia="Helvetica Neue Light" w:cs="Helvetica Neue Light"/>
        <w:color w:val="000000"/>
        <w:sz w:val="18"/>
        <w:szCs w:val="18"/>
      </w:rPr>
      <w:t>18</w:t>
    </w:r>
    <w:r>
      <w:rPr>
        <w:rFonts w:ascii="Helvetica Neue Light" w:hAnsi="Helvetica Neue Light" w:eastAsia="Helvetica Neue Light" w:cs="Helvetica Neue Light"/>
        <w:color w:val="00000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jc w:val="center"/>
      <w:rPr>
        <w:color w:val="000000"/>
      </w:rPr>
    </w:pPr>
    <w:r>
      <w:rPr>
        <w:color w:val="000000"/>
      </w:rPr>
      <w:fldChar w:fldCharType="begin"/>
    </w:r>
    <w:r>
      <w:rPr>
        <w:color w:val="000000"/>
      </w:rPr>
      <w:instrText xml:space="preserve">PAGE</w:instrText>
    </w:r>
    <w:r>
      <w:rPr>
        <w:color w:val="000000"/>
      </w:rPr>
      <w:fldChar w:fldCharType="end"/>
    </w:r>
  </w:p>
  <w:p>
    <w:pPr>
      <w:tabs>
        <w:tab w:val="center" w:pos="4680"/>
        <w:tab w:val="right" w:pos="9360"/>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276" w:lineRule="auto"/>
      <w:rPr>
        <w:rFonts w:ascii="Arial" w:hAnsi="Arial" w:eastAsia="Arial" w:cs="Arial"/>
        <w:szCs w:val="20"/>
      </w:rPr>
    </w:pPr>
  </w:p>
  <w:p>
    <w:pPr>
      <w:widowControl w:val="0"/>
      <w:spacing w:line="276" w:lineRule="auto"/>
      <w:rPr>
        <w:rFonts w:ascii="Arial" w:hAnsi="Arial" w:eastAsia="Arial" w:cs="Arial"/>
        <w:szCs w:val="20"/>
      </w:rPr>
    </w:pPr>
    <w:r>
      <w:rPr>
        <w:rFonts w:ascii="Arial" w:hAnsi="Arial" w:eastAsia="Arial" w:cs="Arial"/>
        <w:szCs w:val="20"/>
        <w:lang w:eastAsia="es-CL"/>
      </w:rPr>
      <mc:AlternateContent>
        <mc:Choice Requires="wps">
          <w:drawing>
            <wp:anchor distT="0" distB="0" distL="114300" distR="114300" simplePos="0" relativeHeight="251660288" behindDoc="0" locked="0" layoutInCell="0" allowOverlap="1">
              <wp:simplePos x="0" y="0"/>
              <wp:positionH relativeFrom="page">
                <wp:posOffset>0</wp:posOffset>
              </wp:positionH>
              <wp:positionV relativeFrom="page">
                <wp:posOffset>190500</wp:posOffset>
              </wp:positionV>
              <wp:extent cx="7772400" cy="266700"/>
              <wp:effectExtent l="0" t="0" r="0" b="0"/>
              <wp:wrapNone/>
              <wp:docPr id="3" name="MSIPCM5a4b44dfaefece02dfd56d69" descr="{&quot;HashCode&quot;:1600875240,&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wps:spPr>
                    <wps:txbx>
                      <w:txbxContent>
                        <w:p>
                          <w:pPr>
                            <w:jc w:val="center"/>
                            <w:rPr>
                              <w:rFonts w:ascii="Arial" w:hAnsi="Arial" w:cs="Arial"/>
                              <w:color w:val="000000"/>
                              <w:sz w:val="16"/>
                            </w:rPr>
                          </w:pPr>
                          <w:r>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noAutofit/>
                    </wps:bodyPr>
                  </wps:wsp>
                </a:graphicData>
              </a:graphic>
            </wp:anchor>
          </w:drawing>
        </mc:Choice>
        <mc:Fallback>
          <w:pict>
            <v:shape id="MSIPCM5a4b44dfaefece02dfd56d69" o:spid="_x0000_s1026" o:spt="202" alt="{&quot;HashCode&quot;:1600875240,&quot;Height&quot;:792.0,&quot;Width&quot;:612.0,&quot;Placement&quot;:&quot;Header&quot;,&quot;Index&quot;:&quot;Primary&quot;,&quot;Section&quot;:1,&quot;Top&quot;:0.0,&quot;Left&quot;:0.0}" type="#_x0000_t202" style="position:absolute;left:0pt;margin-left:0pt;margin-top:15pt;height:21pt;width:612pt;mso-position-horizontal-relative:page;mso-position-vertical-relative:page;z-index:251660288;mso-width-relative:page;mso-height-relative:page;" filled="f" stroked="f" coordsize="21600,21600" o:allowincell="f" o:gfxdata="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Dvalq21AAAAAcBAAAPAAAAAAAAAAEAIAAAACIAAABkcnMvZG93bnJldi54bWxQ&#10;SwECFAAUAAAACACHTuJAAYQe/6YCAABaBQAADgAAAAAAAAABACAAAAAjAQAAZHJzL2Uyb0RvYy54&#10;bWxQSwUGAAAAAAYABgBZAQAAOwYAAAAA&#10;">
              <v:fill on="f" focussize="0,0"/>
              <v:stroke on="f" weight="0.5pt"/>
              <v:imagedata o:title=""/>
              <o:lock v:ext="edit" aspectratio="f"/>
              <v:textbox inset="2.54mm,0mm,2.54mm,0mm">
                <w:txbxContent>
                  <w:p>
                    <w:pPr>
                      <w:jc w:val="center"/>
                      <w:rPr>
                        <w:rFonts w:ascii="Arial" w:hAnsi="Arial" w:cs="Arial"/>
                        <w:color w:val="000000"/>
                        <w:sz w:val="16"/>
                      </w:rPr>
                    </w:pPr>
                    <w:r>
                      <w:rPr>
                        <w:rFonts w:ascii="Arial" w:hAnsi="Arial" w:cs="Arial"/>
                        <w:color w:val="000000"/>
                        <w:sz w:val="16"/>
                      </w:rPr>
                      <w:t>INTERNAL</w:t>
                    </w:r>
                  </w:p>
                </w:txbxContent>
              </v:textbox>
            </v:shape>
          </w:pict>
        </mc:Fallback>
      </mc:AlternateContent>
    </w:r>
  </w:p>
  <w:tbl>
    <w:tblPr>
      <w:tblStyle w:val="35"/>
      <w:tblW w:w="9350" w:type="dxa"/>
      <w:jc w:val="center"/>
      <w:tblLayout w:type="fixed"/>
      <w:tblCellMar>
        <w:top w:w="66" w:type="dxa"/>
        <w:left w:w="71" w:type="dxa"/>
        <w:bottom w:w="22" w:type="dxa"/>
        <w:right w:w="47" w:type="dxa"/>
      </w:tblCellMar>
    </w:tblPr>
    <w:tblGrid>
      <w:gridCol w:w="1326"/>
      <w:gridCol w:w="1869"/>
      <w:gridCol w:w="1064"/>
      <w:gridCol w:w="2014"/>
      <w:gridCol w:w="1436"/>
      <w:gridCol w:w="1641"/>
    </w:tblGrid>
    <w:tr>
      <w:tblPrEx>
        <w:tblCellMar>
          <w:top w:w="66" w:type="dxa"/>
          <w:left w:w="71" w:type="dxa"/>
          <w:bottom w:w="22" w:type="dxa"/>
          <w:right w:w="47" w:type="dxa"/>
        </w:tblCellMar>
      </w:tblPrEx>
      <w:trPr>
        <w:trHeight w:val="20" w:hRule="atLeast"/>
        <w:jc w:val="center"/>
      </w:trPr>
      <w:tc>
        <w:tcPr>
          <w:tcW w:w="1326" w:type="dxa"/>
          <w:vMerge w:val="restart"/>
          <w:tcBorders>
            <w:top w:val="single" w:color="000000" w:sz="4" w:space="0"/>
            <w:left w:val="single" w:color="000000" w:sz="4" w:space="0"/>
            <w:bottom w:val="single" w:color="000000" w:sz="4" w:space="0"/>
            <w:right w:val="single" w:color="000000" w:sz="4" w:space="0"/>
          </w:tcBorders>
          <w:vAlign w:val="center"/>
        </w:tcPr>
        <w:p>
          <w:pPr>
            <w:pStyle w:val="40"/>
          </w:pPr>
          <w:r>
            <w:drawing>
              <wp:inline distT="0" distB="0" distL="0" distR="0">
                <wp:extent cx="725170" cy="389890"/>
                <wp:effectExtent l="0" t="0" r="0" b="0"/>
                <wp:docPr id="142" name="image1.png"/>
                <wp:cNvGraphicFramePr/>
                <a:graphic xmlns:a="http://schemas.openxmlformats.org/drawingml/2006/main">
                  <a:graphicData uri="http://schemas.openxmlformats.org/drawingml/2006/picture">
                    <pic:pic xmlns:pic="http://schemas.openxmlformats.org/drawingml/2006/picture">
                      <pic:nvPicPr>
                        <pic:cNvPr id="142" name="image1.png"/>
                        <pic:cNvPicPr preferRelativeResize="0"/>
                      </pic:nvPicPr>
                      <pic:blipFill>
                        <a:blip r:embed="rId1"/>
                        <a:srcRect/>
                        <a:stretch>
                          <a:fillRect/>
                        </a:stretch>
                      </pic:blipFill>
                      <pic:spPr>
                        <a:xfrm>
                          <a:off x="0" y="0"/>
                          <a:ext cx="725170" cy="389890"/>
                        </a:xfrm>
                        <a:prstGeom prst="rect">
                          <a:avLst/>
                        </a:prstGeom>
                      </pic:spPr>
                    </pic:pic>
                  </a:graphicData>
                </a:graphic>
              </wp:inline>
            </w:drawing>
          </w:r>
        </w:p>
      </w:tc>
      <w:tc>
        <w:tcPr>
          <w:tcW w:w="2933" w:type="dxa"/>
          <w:gridSpan w:val="2"/>
          <w:tcBorders>
            <w:top w:val="single" w:color="000000" w:sz="4" w:space="0"/>
            <w:left w:val="single" w:color="000000" w:sz="4" w:space="0"/>
            <w:bottom w:val="single" w:color="000000" w:sz="4" w:space="0"/>
            <w:right w:val="single" w:color="000000" w:sz="4" w:space="0"/>
          </w:tcBorders>
          <w:vAlign w:val="center"/>
        </w:tcPr>
        <w:p>
          <w:pPr>
            <w:pStyle w:val="40"/>
          </w:pPr>
          <w:r>
            <w:t>Enel Distribución Chile</w:t>
          </w:r>
        </w:p>
      </w:tc>
      <w:tc>
        <w:tcPr>
          <w:tcW w:w="3450" w:type="dxa"/>
          <w:gridSpan w:val="2"/>
          <w:tcBorders>
            <w:top w:val="single" w:color="000000" w:sz="4" w:space="0"/>
            <w:left w:val="single" w:color="000000" w:sz="4" w:space="0"/>
            <w:bottom w:val="single" w:color="000000" w:sz="4" w:space="0"/>
            <w:right w:val="single" w:color="000000" w:sz="4" w:space="0"/>
          </w:tcBorders>
          <w:vAlign w:val="center"/>
        </w:tcPr>
        <w:p>
          <w:pPr>
            <w:pStyle w:val="40"/>
          </w:pPr>
          <w:r>
            <w:rPr>
              <w:sz w:val="23"/>
              <w:szCs w:val="23"/>
            </w:rPr>
            <w:t xml:space="preserve">Infraestructura Avanzada de Medición </w:t>
          </w:r>
        </w:p>
      </w:tc>
      <w:tc>
        <w:tcPr>
          <w:tcW w:w="1641" w:type="dxa"/>
          <w:tcBorders>
            <w:top w:val="single" w:color="000000" w:sz="4" w:space="0"/>
            <w:left w:val="single" w:color="000000" w:sz="4" w:space="0"/>
            <w:bottom w:val="single" w:color="000000" w:sz="4" w:space="0"/>
            <w:right w:val="single" w:color="000000" w:sz="4" w:space="0"/>
          </w:tcBorders>
          <w:vAlign w:val="center"/>
        </w:tcPr>
        <w:p>
          <w:pPr>
            <w:pStyle w:val="40"/>
          </w:pPr>
          <w:r>
            <w:t>ID documento:</w:t>
          </w:r>
        </w:p>
        <w:p>
          <w:pPr>
            <w:pStyle w:val="40"/>
            <w:rPr>
              <w:rFonts w:hint="default"/>
              <w:lang w:val="es-CL"/>
            </w:rPr>
          </w:pPr>
          <w:r>
            <w:rPr>
              <w:rFonts w:hint="default"/>
              <w:lang w:val="es-CL"/>
            </w:rPr>
            <w:t>ID-004</w:t>
          </w:r>
        </w:p>
      </w:tc>
    </w:tr>
    <w:tr>
      <w:tblPrEx>
        <w:tblCellMar>
          <w:top w:w="66" w:type="dxa"/>
          <w:left w:w="71" w:type="dxa"/>
          <w:bottom w:w="22" w:type="dxa"/>
          <w:right w:w="47" w:type="dxa"/>
        </w:tblCellMar>
      </w:tblPrEx>
      <w:trPr>
        <w:trHeight w:val="20" w:hRule="atLeast"/>
        <w:jc w:val="center"/>
      </w:trPr>
      <w:tc>
        <w:tcPr>
          <w:tcW w:w="1326" w:type="dxa"/>
          <w:vMerge w:val="continue"/>
          <w:tcBorders>
            <w:top w:val="single" w:color="000000" w:sz="4" w:space="0"/>
            <w:left w:val="single" w:color="000000" w:sz="4" w:space="0"/>
            <w:bottom w:val="single" w:color="000000" w:sz="4" w:space="0"/>
            <w:right w:val="single" w:color="000000" w:sz="4" w:space="0"/>
          </w:tcBorders>
          <w:vAlign w:val="center"/>
        </w:tcPr>
        <w:p>
          <w:pPr>
            <w:pStyle w:val="40"/>
          </w:pPr>
        </w:p>
      </w:tc>
      <w:tc>
        <w:tcPr>
          <w:tcW w:w="8024" w:type="dxa"/>
          <w:gridSpan w:val="5"/>
          <w:tcBorders>
            <w:top w:val="single" w:color="000000" w:sz="4" w:space="0"/>
            <w:left w:val="single" w:color="000000" w:sz="4" w:space="0"/>
            <w:bottom w:val="single" w:color="000000" w:sz="4" w:space="0"/>
            <w:right w:val="single" w:color="000000" w:sz="4" w:space="0"/>
          </w:tcBorders>
          <w:vAlign w:val="center"/>
        </w:tcPr>
        <w:p>
          <w:pPr>
            <w:pStyle w:val="40"/>
          </w:pPr>
          <w:r>
            <w:t>Mantenimiento de componentes del SMMC solución comercial Starbeat</w:t>
          </w:r>
        </w:p>
      </w:tc>
    </w:tr>
    <w:tr>
      <w:tblPrEx>
        <w:tblCellMar>
          <w:top w:w="66" w:type="dxa"/>
          <w:left w:w="71" w:type="dxa"/>
          <w:bottom w:w="22" w:type="dxa"/>
          <w:right w:w="47" w:type="dxa"/>
        </w:tblCellMar>
      </w:tblPrEx>
      <w:trPr>
        <w:trHeight w:val="20" w:hRule="atLeast"/>
        <w:jc w:val="center"/>
      </w:trPr>
      <w:tc>
        <w:tcPr>
          <w:tcW w:w="3195" w:type="dxa"/>
          <w:gridSpan w:val="2"/>
          <w:tcBorders>
            <w:top w:val="single" w:color="000000" w:sz="4" w:space="0"/>
            <w:left w:val="single" w:color="000000" w:sz="4" w:space="0"/>
            <w:bottom w:val="single" w:color="000000" w:sz="4" w:space="0"/>
            <w:right w:val="single" w:color="000000" w:sz="4" w:space="0"/>
          </w:tcBorders>
          <w:vAlign w:val="center"/>
        </w:tcPr>
        <w:p>
          <w:pPr>
            <w:pStyle w:val="40"/>
          </w:pPr>
          <w:r>
            <w:t>Especialista a cargo:</w:t>
          </w:r>
        </w:p>
      </w:tc>
      <w:tc>
        <w:tcPr>
          <w:tcW w:w="3078" w:type="dxa"/>
          <w:gridSpan w:val="2"/>
          <w:tcBorders>
            <w:top w:val="single" w:color="000000" w:sz="4" w:space="0"/>
            <w:left w:val="single" w:color="000000" w:sz="4" w:space="0"/>
            <w:bottom w:val="single" w:color="000000" w:sz="4" w:space="0"/>
            <w:right w:val="single" w:color="000000" w:sz="4" w:space="0"/>
          </w:tcBorders>
          <w:vAlign w:val="center"/>
        </w:tcPr>
        <w:p>
          <w:pPr>
            <w:pStyle w:val="40"/>
          </w:pPr>
          <w:r>
            <w:t>Autor:</w:t>
          </w:r>
        </w:p>
      </w:tc>
      <w:tc>
        <w:tcPr>
          <w:tcW w:w="3077" w:type="dxa"/>
          <w:gridSpan w:val="2"/>
          <w:tcBorders>
            <w:top w:val="single" w:color="000000" w:sz="4" w:space="0"/>
            <w:left w:val="single" w:color="000000" w:sz="4" w:space="0"/>
            <w:bottom w:val="single" w:color="000000" w:sz="4" w:space="0"/>
            <w:right w:val="single" w:color="000000" w:sz="4" w:space="0"/>
          </w:tcBorders>
          <w:vAlign w:val="center"/>
        </w:tcPr>
        <w:p>
          <w:pPr>
            <w:pStyle w:val="40"/>
          </w:pPr>
          <w:r>
            <w:t>Revisado por:</w:t>
          </w:r>
        </w:p>
      </w:tc>
    </w:tr>
    <w:tr>
      <w:tblPrEx>
        <w:tblCellMar>
          <w:top w:w="66" w:type="dxa"/>
          <w:left w:w="71" w:type="dxa"/>
          <w:bottom w:w="22" w:type="dxa"/>
          <w:right w:w="47" w:type="dxa"/>
        </w:tblCellMar>
      </w:tblPrEx>
      <w:trPr>
        <w:trHeight w:val="20" w:hRule="atLeast"/>
        <w:jc w:val="center"/>
      </w:trPr>
      <w:tc>
        <w:tcPr>
          <w:tcW w:w="3195" w:type="dxa"/>
          <w:gridSpan w:val="2"/>
          <w:tcBorders>
            <w:top w:val="single" w:color="000000" w:sz="4" w:space="0"/>
            <w:left w:val="single" w:color="000000" w:sz="4" w:space="0"/>
            <w:bottom w:val="single" w:color="000000" w:sz="4" w:space="0"/>
            <w:right w:val="single" w:color="000000" w:sz="4" w:space="0"/>
          </w:tcBorders>
          <w:vAlign w:val="center"/>
        </w:tcPr>
        <w:p>
          <w:pPr>
            <w:pStyle w:val="40"/>
          </w:pPr>
          <w:r>
            <w:t>Yiris Majluf Alvarado</w:t>
          </w:r>
        </w:p>
      </w:tc>
      <w:tc>
        <w:tcPr>
          <w:tcW w:w="3078" w:type="dxa"/>
          <w:gridSpan w:val="2"/>
          <w:tcBorders>
            <w:top w:val="single" w:color="000000" w:sz="4" w:space="0"/>
            <w:left w:val="single" w:color="000000" w:sz="4" w:space="0"/>
            <w:bottom w:val="single" w:color="000000" w:sz="4" w:space="0"/>
            <w:right w:val="single" w:color="000000" w:sz="4" w:space="0"/>
          </w:tcBorders>
        </w:tcPr>
        <w:p>
          <w:pPr>
            <w:pStyle w:val="40"/>
          </w:pPr>
          <w:r>
            <w:t>Yiris Majluf Alvarado</w:t>
          </w:r>
        </w:p>
      </w:tc>
      <w:tc>
        <w:tcPr>
          <w:tcW w:w="3077" w:type="dxa"/>
          <w:gridSpan w:val="2"/>
          <w:tcBorders>
            <w:top w:val="single" w:color="000000" w:sz="4" w:space="0"/>
            <w:left w:val="single" w:color="000000" w:sz="4" w:space="0"/>
            <w:bottom w:val="single" w:color="000000" w:sz="4" w:space="0"/>
            <w:right w:val="single" w:color="000000" w:sz="4" w:space="0"/>
          </w:tcBorders>
        </w:tcPr>
        <w:p>
          <w:pPr>
            <w:pStyle w:val="40"/>
          </w:pPr>
        </w:p>
      </w:tc>
    </w:tr>
  </w:tbl>
  <w:p>
    <w:pP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B51612"/>
    <w:multiLevelType w:val="multilevel"/>
    <w:tmpl w:val="18B5161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92268EE"/>
    <w:multiLevelType w:val="multilevel"/>
    <w:tmpl w:val="192268EE"/>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9C25150"/>
    <w:multiLevelType w:val="multilevel"/>
    <w:tmpl w:val="19C2515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137516C"/>
    <w:multiLevelType w:val="multilevel"/>
    <w:tmpl w:val="3137516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C2F7005"/>
    <w:multiLevelType w:val="multilevel"/>
    <w:tmpl w:val="4C2F700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F42502D"/>
    <w:multiLevelType w:val="multilevel"/>
    <w:tmpl w:val="4F42502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0"/>
  </w:num>
  <w:num w:numId="3">
    <w:abstractNumId w:val="1"/>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90D"/>
    <w:rsid w:val="00034512"/>
    <w:rsid w:val="00043200"/>
    <w:rsid w:val="0006438C"/>
    <w:rsid w:val="00081CE4"/>
    <w:rsid w:val="00096C11"/>
    <w:rsid w:val="000F2FC4"/>
    <w:rsid w:val="00122EEE"/>
    <w:rsid w:val="00143B74"/>
    <w:rsid w:val="00144D76"/>
    <w:rsid w:val="00172260"/>
    <w:rsid w:val="001A7321"/>
    <w:rsid w:val="001C229C"/>
    <w:rsid w:val="001D5D84"/>
    <w:rsid w:val="00215CFE"/>
    <w:rsid w:val="002408E7"/>
    <w:rsid w:val="002423CE"/>
    <w:rsid w:val="00262A89"/>
    <w:rsid w:val="00271782"/>
    <w:rsid w:val="002B3434"/>
    <w:rsid w:val="002B49EF"/>
    <w:rsid w:val="00312FEA"/>
    <w:rsid w:val="00316762"/>
    <w:rsid w:val="00332394"/>
    <w:rsid w:val="00343FA1"/>
    <w:rsid w:val="00373F99"/>
    <w:rsid w:val="003839BD"/>
    <w:rsid w:val="003A1287"/>
    <w:rsid w:val="003A4F5E"/>
    <w:rsid w:val="003C0574"/>
    <w:rsid w:val="003C4804"/>
    <w:rsid w:val="003D2F5F"/>
    <w:rsid w:val="003E7B52"/>
    <w:rsid w:val="004147A9"/>
    <w:rsid w:val="00455074"/>
    <w:rsid w:val="005037B1"/>
    <w:rsid w:val="005366EC"/>
    <w:rsid w:val="0054690D"/>
    <w:rsid w:val="005632BA"/>
    <w:rsid w:val="005A6A5B"/>
    <w:rsid w:val="005B3C50"/>
    <w:rsid w:val="005C2AF8"/>
    <w:rsid w:val="005E0AD5"/>
    <w:rsid w:val="005E60AD"/>
    <w:rsid w:val="00612C14"/>
    <w:rsid w:val="00623432"/>
    <w:rsid w:val="00662146"/>
    <w:rsid w:val="0068114E"/>
    <w:rsid w:val="006A23C6"/>
    <w:rsid w:val="006A58B5"/>
    <w:rsid w:val="006C43C8"/>
    <w:rsid w:val="006D08DA"/>
    <w:rsid w:val="006E4887"/>
    <w:rsid w:val="006F5B90"/>
    <w:rsid w:val="00702FCD"/>
    <w:rsid w:val="007153EE"/>
    <w:rsid w:val="0075015A"/>
    <w:rsid w:val="007607A0"/>
    <w:rsid w:val="00773BBC"/>
    <w:rsid w:val="007C5060"/>
    <w:rsid w:val="00815715"/>
    <w:rsid w:val="00836C33"/>
    <w:rsid w:val="00867DC5"/>
    <w:rsid w:val="008A7FE3"/>
    <w:rsid w:val="008D30A2"/>
    <w:rsid w:val="008D4110"/>
    <w:rsid w:val="008D481D"/>
    <w:rsid w:val="008F053B"/>
    <w:rsid w:val="00936457"/>
    <w:rsid w:val="009373EC"/>
    <w:rsid w:val="00947819"/>
    <w:rsid w:val="00970C49"/>
    <w:rsid w:val="0097341E"/>
    <w:rsid w:val="0099262D"/>
    <w:rsid w:val="00A0483E"/>
    <w:rsid w:val="00A053B1"/>
    <w:rsid w:val="00A416BB"/>
    <w:rsid w:val="00A50449"/>
    <w:rsid w:val="00AB333A"/>
    <w:rsid w:val="00AE05F9"/>
    <w:rsid w:val="00AE0FA4"/>
    <w:rsid w:val="00AF114F"/>
    <w:rsid w:val="00AF4E90"/>
    <w:rsid w:val="00B11A03"/>
    <w:rsid w:val="00B2470F"/>
    <w:rsid w:val="00B44212"/>
    <w:rsid w:val="00B93978"/>
    <w:rsid w:val="00C07981"/>
    <w:rsid w:val="00C25169"/>
    <w:rsid w:val="00C267FB"/>
    <w:rsid w:val="00C50041"/>
    <w:rsid w:val="00C50FDB"/>
    <w:rsid w:val="00C53A81"/>
    <w:rsid w:val="00C60DCE"/>
    <w:rsid w:val="00CE6BCB"/>
    <w:rsid w:val="00CE7205"/>
    <w:rsid w:val="00CF4F8D"/>
    <w:rsid w:val="00CF697B"/>
    <w:rsid w:val="00D009FD"/>
    <w:rsid w:val="00D75267"/>
    <w:rsid w:val="00D92380"/>
    <w:rsid w:val="00DE09FE"/>
    <w:rsid w:val="00DE7A32"/>
    <w:rsid w:val="00E05ABB"/>
    <w:rsid w:val="00E275F1"/>
    <w:rsid w:val="00E671AE"/>
    <w:rsid w:val="00E8356F"/>
    <w:rsid w:val="00EA7ADD"/>
    <w:rsid w:val="00EC208B"/>
    <w:rsid w:val="00EC56EC"/>
    <w:rsid w:val="00F12A2B"/>
    <w:rsid w:val="00F21D1B"/>
    <w:rsid w:val="00F65B88"/>
    <w:rsid w:val="00F9176B"/>
    <w:rsid w:val="00F937AA"/>
    <w:rsid w:val="00FB03AD"/>
    <w:rsid w:val="00FC3281"/>
    <w:rsid w:val="00FD6115"/>
    <w:rsid w:val="047E6D82"/>
    <w:rsid w:val="083141D5"/>
    <w:rsid w:val="17DE7A3F"/>
    <w:rsid w:val="20251132"/>
    <w:rsid w:val="2126351C"/>
    <w:rsid w:val="21AE4622"/>
    <w:rsid w:val="23B667CA"/>
    <w:rsid w:val="23CE3F1A"/>
    <w:rsid w:val="24492D66"/>
    <w:rsid w:val="2AE64354"/>
    <w:rsid w:val="581B7FD7"/>
    <w:rsid w:val="6A5B7C61"/>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line="360" w:lineRule="auto"/>
      <w:jc w:val="both"/>
    </w:pPr>
    <w:rPr>
      <w:rFonts w:ascii="Calibri" w:hAnsi="Calibri" w:eastAsia="Calibri" w:cs="Calibri"/>
      <w:szCs w:val="24"/>
      <w:lang w:val="es-CL"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page number"/>
    <w:basedOn w:val="8"/>
    <w:semiHidden/>
    <w:unhideWhenUsed/>
    <w:uiPriority w:val="99"/>
  </w:style>
  <w:style w:type="paragraph" w:styleId="12">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13">
    <w:name w:val="annotation subject"/>
    <w:basedOn w:val="14"/>
    <w:next w:val="14"/>
    <w:link w:val="38"/>
    <w:semiHidden/>
    <w:unhideWhenUsed/>
    <w:qFormat/>
    <w:uiPriority w:val="99"/>
    <w:rPr>
      <w:b/>
      <w:bCs/>
    </w:rPr>
  </w:style>
  <w:style w:type="paragraph" w:styleId="14">
    <w:name w:val="annotation text"/>
    <w:basedOn w:val="1"/>
    <w:link w:val="36"/>
    <w:semiHidden/>
    <w:unhideWhenUsed/>
    <w:qFormat/>
    <w:uiPriority w:val="99"/>
    <w:rPr>
      <w:szCs w:val="20"/>
    </w:rPr>
  </w:style>
  <w:style w:type="paragraph" w:styleId="15">
    <w:name w:val="Balloon Text"/>
    <w:basedOn w:val="1"/>
    <w:link w:val="37"/>
    <w:semiHidden/>
    <w:unhideWhenUsed/>
    <w:uiPriority w:val="99"/>
    <w:rPr>
      <w:rFonts w:ascii="Times New Roman" w:hAnsi="Times New Roman" w:cs="Times New Roman"/>
      <w:sz w:val="18"/>
      <w:szCs w:val="18"/>
    </w:rPr>
  </w:style>
  <w:style w:type="paragraph" w:styleId="16">
    <w:name w:val="header"/>
    <w:basedOn w:val="1"/>
    <w:link w:val="21"/>
    <w:unhideWhenUsed/>
    <w:qFormat/>
    <w:uiPriority w:val="99"/>
    <w:pPr>
      <w:tabs>
        <w:tab w:val="center" w:pos="4680"/>
        <w:tab w:val="right" w:pos="9360"/>
      </w:tabs>
    </w:pPr>
  </w:style>
  <w:style w:type="paragraph" w:styleId="17">
    <w:name w:val="footer"/>
    <w:basedOn w:val="1"/>
    <w:link w:val="22"/>
    <w:unhideWhenUsed/>
    <w:uiPriority w:val="99"/>
    <w:pPr>
      <w:tabs>
        <w:tab w:val="center" w:pos="4680"/>
        <w:tab w:val="right" w:pos="9360"/>
      </w:tabs>
    </w:pPr>
  </w:style>
  <w:style w:type="paragraph" w:styleId="18">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9">
    <w:name w:val="Title"/>
    <w:basedOn w:val="1"/>
    <w:next w:val="1"/>
    <w:link w:val="25"/>
    <w:qFormat/>
    <w:uiPriority w:val="10"/>
    <w:pPr>
      <w:autoSpaceDE w:val="0"/>
      <w:autoSpaceDN w:val="0"/>
      <w:adjustRightInd w:val="0"/>
      <w:spacing w:before="8" w:after="1"/>
    </w:pPr>
    <w:rPr>
      <w:rFonts w:ascii="Times New Roman" w:hAnsi="Times New Roman" w:cs="Times New Roman"/>
    </w:rPr>
  </w:style>
  <w:style w:type="table" w:styleId="2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Encabezado Car"/>
    <w:basedOn w:val="8"/>
    <w:link w:val="16"/>
    <w:qFormat/>
    <w:uiPriority w:val="99"/>
  </w:style>
  <w:style w:type="character" w:customStyle="1" w:styleId="22">
    <w:name w:val="Pie de página Car"/>
    <w:basedOn w:val="8"/>
    <w:link w:val="17"/>
    <w:qFormat/>
    <w:uiPriority w:val="99"/>
  </w:style>
  <w:style w:type="table" w:customStyle="1" w:styleId="23">
    <w:name w:val="TableGrid"/>
    <w:uiPriority w:val="0"/>
    <w:rPr>
      <w:rFonts w:eastAsiaTheme="minorEastAsia"/>
    </w:rPr>
    <w:tblPr>
      <w:tblCellMar>
        <w:top w:w="0" w:type="dxa"/>
        <w:left w:w="0" w:type="dxa"/>
        <w:bottom w:w="0" w:type="dxa"/>
        <w:right w:w="0" w:type="dxa"/>
      </w:tblCellMar>
    </w:tblPr>
  </w:style>
  <w:style w:type="paragraph" w:styleId="24">
    <w:name w:val="List Paragraph"/>
    <w:basedOn w:val="1"/>
    <w:qFormat/>
    <w:uiPriority w:val="34"/>
    <w:pPr>
      <w:ind w:left="720"/>
      <w:contextualSpacing/>
    </w:pPr>
  </w:style>
  <w:style w:type="character" w:customStyle="1" w:styleId="25">
    <w:name w:val="Título Car"/>
    <w:basedOn w:val="8"/>
    <w:link w:val="19"/>
    <w:uiPriority w:val="1"/>
    <w:rPr>
      <w:rFonts w:ascii="Times New Roman" w:hAnsi="Times New Roman" w:cs="Times New Roman"/>
      <w:lang w:val="es-CL"/>
    </w:rPr>
  </w:style>
  <w:style w:type="paragraph" w:customStyle="1" w:styleId="26">
    <w:name w:val="Table Paragraph"/>
    <w:basedOn w:val="1"/>
    <w:qFormat/>
    <w:uiPriority w:val="1"/>
    <w:pPr>
      <w:autoSpaceDE w:val="0"/>
      <w:autoSpaceDN w:val="0"/>
      <w:adjustRightInd w:val="0"/>
      <w:spacing w:line="233" w:lineRule="exact"/>
      <w:ind w:left="103"/>
    </w:pPr>
    <w:rPr>
      <w:rFonts w:ascii="Arial" w:hAnsi="Arial" w:cs="Arial"/>
    </w:rPr>
  </w:style>
  <w:style w:type="paragraph" w:customStyle="1" w:styleId="27">
    <w:name w:val="Default"/>
    <w:uiPriority w:val="0"/>
    <w:pPr>
      <w:autoSpaceDE w:val="0"/>
      <w:autoSpaceDN w:val="0"/>
      <w:adjustRightInd w:val="0"/>
    </w:pPr>
    <w:rPr>
      <w:rFonts w:ascii="Arial" w:hAnsi="Arial" w:eastAsia="Calibri" w:cs="Arial"/>
      <w:color w:val="000000"/>
      <w:sz w:val="24"/>
      <w:szCs w:val="24"/>
      <w:lang w:val="es-CL" w:eastAsia="en-US" w:bidi="ar-SA"/>
    </w:rPr>
  </w:style>
  <w:style w:type="table" w:customStyle="1" w:styleId="28">
    <w:name w:val="_Style 22"/>
    <w:basedOn w:val="9"/>
    <w:uiPriority w:val="0"/>
    <w:tblPr>
      <w:tblCellMar>
        <w:left w:w="115" w:type="dxa"/>
        <w:right w:w="115" w:type="dxa"/>
      </w:tblCellMar>
    </w:tblPr>
  </w:style>
  <w:style w:type="table" w:customStyle="1" w:styleId="29">
    <w:name w:val="_Style 23"/>
    <w:basedOn w:val="9"/>
    <w:uiPriority w:val="0"/>
    <w:tblPr>
      <w:tblCellMar>
        <w:top w:w="49" w:type="dxa"/>
        <w:left w:w="107" w:type="dxa"/>
        <w:right w:w="115" w:type="dxa"/>
      </w:tblCellMar>
    </w:tblPr>
  </w:style>
  <w:style w:type="table" w:customStyle="1" w:styleId="30">
    <w:name w:val="_Style 24"/>
    <w:basedOn w:val="9"/>
    <w:qFormat/>
    <w:uiPriority w:val="0"/>
    <w:tblPr>
      <w:tblCellMar>
        <w:left w:w="70" w:type="dxa"/>
        <w:right w:w="70" w:type="dxa"/>
      </w:tblCellMar>
    </w:tblPr>
  </w:style>
  <w:style w:type="table" w:customStyle="1" w:styleId="31">
    <w:name w:val="_Style 25"/>
    <w:basedOn w:val="9"/>
    <w:uiPriority w:val="0"/>
    <w:tblPr>
      <w:tblCellMar>
        <w:top w:w="46" w:type="dxa"/>
        <w:right w:w="53" w:type="dxa"/>
      </w:tblCellMar>
    </w:tblPr>
  </w:style>
  <w:style w:type="table" w:customStyle="1" w:styleId="32">
    <w:name w:val="_Style 26"/>
    <w:basedOn w:val="9"/>
    <w:uiPriority w:val="0"/>
    <w:tblPr>
      <w:tblCellMar>
        <w:top w:w="46" w:type="dxa"/>
        <w:right w:w="53" w:type="dxa"/>
      </w:tblCellMar>
    </w:tblPr>
  </w:style>
  <w:style w:type="table" w:customStyle="1" w:styleId="33">
    <w:name w:val="_Style 27"/>
    <w:basedOn w:val="9"/>
    <w:qFormat/>
    <w:uiPriority w:val="0"/>
    <w:tblPr>
      <w:tblCellMar>
        <w:left w:w="115" w:type="dxa"/>
        <w:right w:w="115" w:type="dxa"/>
      </w:tblCellMar>
    </w:tblPr>
  </w:style>
  <w:style w:type="table" w:customStyle="1" w:styleId="34">
    <w:name w:val="_Style 28"/>
    <w:basedOn w:val="9"/>
    <w:qFormat/>
    <w:uiPriority w:val="0"/>
  </w:style>
  <w:style w:type="table" w:customStyle="1" w:styleId="35">
    <w:name w:val="_Style 29"/>
    <w:basedOn w:val="9"/>
    <w:uiPriority w:val="0"/>
    <w:tblPr>
      <w:tblCellMar>
        <w:top w:w="66" w:type="dxa"/>
        <w:left w:w="71" w:type="dxa"/>
        <w:bottom w:w="22" w:type="dxa"/>
        <w:right w:w="47" w:type="dxa"/>
      </w:tblCellMar>
    </w:tblPr>
  </w:style>
  <w:style w:type="character" w:customStyle="1" w:styleId="36">
    <w:name w:val="Texto comentario Car"/>
    <w:basedOn w:val="8"/>
    <w:link w:val="14"/>
    <w:semiHidden/>
    <w:uiPriority w:val="99"/>
    <w:rPr>
      <w:sz w:val="20"/>
      <w:szCs w:val="20"/>
    </w:rPr>
  </w:style>
  <w:style w:type="character" w:customStyle="1" w:styleId="37">
    <w:name w:val="Texto de globo Car"/>
    <w:basedOn w:val="8"/>
    <w:link w:val="15"/>
    <w:semiHidden/>
    <w:uiPriority w:val="99"/>
    <w:rPr>
      <w:rFonts w:ascii="Times New Roman" w:hAnsi="Times New Roman" w:cs="Times New Roman"/>
      <w:sz w:val="18"/>
      <w:szCs w:val="18"/>
    </w:rPr>
  </w:style>
  <w:style w:type="character" w:customStyle="1" w:styleId="38">
    <w:name w:val="Asunto del comentario Car"/>
    <w:basedOn w:val="36"/>
    <w:link w:val="13"/>
    <w:semiHidden/>
    <w:uiPriority w:val="99"/>
    <w:rPr>
      <w:b/>
      <w:bCs/>
      <w:sz w:val="20"/>
      <w:szCs w:val="20"/>
    </w:rPr>
  </w:style>
  <w:style w:type="table" w:customStyle="1" w:styleId="39">
    <w:name w:val="Tabla con cuadrícula1"/>
    <w:basedOn w:val="9"/>
    <w:uiPriority w:val="39"/>
    <w:rPr>
      <w:rFonts w:asciiTheme="minorHAnsi" w:hAnsiTheme="minorHAnsi" w:eastAsiaTheme="minorHAnsi" w:cstheme="minorBidi"/>
      <w:sz w:val="24"/>
      <w:szCs w:val="24"/>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Estilo1"/>
    <w:basedOn w:val="1"/>
    <w:link w:val="41"/>
    <w:qFormat/>
    <w:uiPriority w:val="0"/>
    <w:pPr>
      <w:spacing w:line="259" w:lineRule="auto"/>
      <w:ind w:right="66"/>
      <w:jc w:val="center"/>
    </w:pPr>
    <w:rPr>
      <w:rFonts w:ascii="Helvetica Neue Light" w:hAnsi="Helvetica Neue Light" w:eastAsia="Helvetica Neue Light" w:cs="Helvetica Neue Light"/>
      <w:sz w:val="18"/>
      <w:szCs w:val="18"/>
      <w:lang w:eastAsia="es-CL"/>
    </w:rPr>
  </w:style>
  <w:style w:type="character" w:customStyle="1" w:styleId="41">
    <w:name w:val="Estilo1 Car"/>
    <w:basedOn w:val="8"/>
    <w:link w:val="40"/>
    <w:uiPriority w:val="0"/>
    <w:rPr>
      <w:rFonts w:ascii="Helvetica Neue Light" w:hAnsi="Helvetica Neue Light" w:eastAsia="Helvetica Neue Light" w:cs="Helvetica Neue Light"/>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gm56bGBkCzjYTtsBc7HKiG3k9dnA==">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Company>ENEL</Company>
  <Pages>10</Pages>
  <Words>944</Words>
  <Characters>5192</Characters>
  <Lines>43</Lines>
  <Paragraphs>12</Paragraphs>
  <TotalTime>48</TotalTime>
  <ScaleCrop>false</ScaleCrop>
  <LinksUpToDate>false</LinksUpToDate>
  <CharactersWithSpaces>6124</CharactersWithSpaces>
  <Application>WPS Office_11.2.0.10323_F1E327BC-269C-435d-A152-05C5408002CA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2021-03-15T01:44:00Z</dcterms:created>
  <dc:creator>Luciano Ahumada Fierro</dc:creator>
  <cp:lastModifiedBy>CL146041000</cp:lastModifiedBy>
  <cp:lastPrinted>2021-03-15T03:20:00Z</cp:lastPrinted>
  <dcterms:modified xsi:type="dcterms:W3CDTF">2021-10-12T22:13:55Z</dcterms:modified>
  <cp:revision>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2058-11.2.0.10323</vt:lpwstr>
  </property>
  <property fmtid="{D5CDD505-2E9C-101B-9397-08002B2CF9AE}" pid="3" name="MSIP_Label_00183ae1-726f-4969-b787-1995b26b5e2f_Enabled">
    <vt:lpwstr>True</vt:lpwstr>
  </property>
  <property fmtid="{D5CDD505-2E9C-101B-9397-08002B2CF9AE}" pid="4" name="MSIP_Label_00183ae1-726f-4969-b787-1995b26b5e2f_SiteId">
    <vt:lpwstr>d539d4bf-5610-471a-afc2-1c76685cfefa</vt:lpwstr>
  </property>
  <property fmtid="{D5CDD505-2E9C-101B-9397-08002B2CF9AE}" pid="5" name="MSIP_Label_00183ae1-726f-4969-b787-1995b26b5e2f_Owner">
    <vt:lpwstr>patricio.figueroa@enel.com</vt:lpwstr>
  </property>
  <property fmtid="{D5CDD505-2E9C-101B-9397-08002B2CF9AE}" pid="6" name="MSIP_Label_00183ae1-726f-4969-b787-1995b26b5e2f_SetDate">
    <vt:lpwstr>2020-12-20T19:02:03.5452513Z</vt:lpwstr>
  </property>
  <property fmtid="{D5CDD505-2E9C-101B-9397-08002B2CF9AE}" pid="7" name="MSIP_Label_00183ae1-726f-4969-b787-1995b26b5e2f_Name">
    <vt:lpwstr>Internal</vt:lpwstr>
  </property>
  <property fmtid="{D5CDD505-2E9C-101B-9397-08002B2CF9AE}" pid="8" name="MSIP_Label_00183ae1-726f-4969-b787-1995b26b5e2f_Application">
    <vt:lpwstr>Microsoft Azure Information Protection</vt:lpwstr>
  </property>
  <property fmtid="{D5CDD505-2E9C-101B-9397-08002B2CF9AE}" pid="9" name="MSIP_Label_00183ae1-726f-4969-b787-1995b26b5e2f_ActionId">
    <vt:lpwstr>811572bd-6ac9-44c3-a1b4-b2fc712acfd7</vt:lpwstr>
  </property>
  <property fmtid="{D5CDD505-2E9C-101B-9397-08002B2CF9AE}" pid="10" name="MSIP_Label_00183ae1-726f-4969-b787-1995b26b5e2f_Extended_MSFT_Method">
    <vt:lpwstr>Automatic</vt:lpwstr>
  </property>
  <property fmtid="{D5CDD505-2E9C-101B-9397-08002B2CF9AE}" pid="11" name="MSIP_Label_797ad33d-ed35-43c0-b526-22bc83c17deb_Enabled">
    <vt:lpwstr>True</vt:lpwstr>
  </property>
  <property fmtid="{D5CDD505-2E9C-101B-9397-08002B2CF9AE}" pid="12" name="MSIP_Label_797ad33d-ed35-43c0-b526-22bc83c17deb_SiteId">
    <vt:lpwstr>d539d4bf-5610-471a-afc2-1c76685cfefa</vt:lpwstr>
  </property>
  <property fmtid="{D5CDD505-2E9C-101B-9397-08002B2CF9AE}" pid="13" name="MSIP_Label_797ad33d-ed35-43c0-b526-22bc83c17deb_Owner">
    <vt:lpwstr>patricio.figueroa@enel.com</vt:lpwstr>
  </property>
  <property fmtid="{D5CDD505-2E9C-101B-9397-08002B2CF9AE}" pid="14" name="MSIP_Label_797ad33d-ed35-43c0-b526-22bc83c17deb_SetDate">
    <vt:lpwstr>2020-12-20T19:02:03.5452513Z</vt:lpwstr>
  </property>
  <property fmtid="{D5CDD505-2E9C-101B-9397-08002B2CF9AE}" pid="15" name="MSIP_Label_797ad33d-ed35-43c0-b526-22bc83c17deb_Name">
    <vt:lpwstr>Not Encrypted</vt:lpwstr>
  </property>
  <property fmtid="{D5CDD505-2E9C-101B-9397-08002B2CF9AE}" pid="16" name="MSIP_Label_797ad33d-ed35-43c0-b526-22bc83c17deb_Application">
    <vt:lpwstr>Microsoft Azure Information Protection</vt:lpwstr>
  </property>
  <property fmtid="{D5CDD505-2E9C-101B-9397-08002B2CF9AE}" pid="17" name="MSIP_Label_797ad33d-ed35-43c0-b526-22bc83c17deb_ActionId">
    <vt:lpwstr>811572bd-6ac9-44c3-a1b4-b2fc712acfd7</vt:lpwstr>
  </property>
  <property fmtid="{D5CDD505-2E9C-101B-9397-08002B2CF9AE}" pid="18" name="MSIP_Label_797ad33d-ed35-43c0-b526-22bc83c17deb_Parent">
    <vt:lpwstr>00183ae1-726f-4969-b787-1995b26b5e2f</vt:lpwstr>
  </property>
  <property fmtid="{D5CDD505-2E9C-101B-9397-08002B2CF9AE}" pid="19" name="MSIP_Label_797ad33d-ed35-43c0-b526-22bc83c17deb_Extended_MSFT_Method">
    <vt:lpwstr>Automatic</vt:lpwstr>
  </property>
  <property fmtid="{D5CDD505-2E9C-101B-9397-08002B2CF9AE}" pid="20" name="Sensitivity">
    <vt:lpwstr>Internal Not Encrypted</vt:lpwstr>
  </property>
  <property fmtid="{D5CDD505-2E9C-101B-9397-08002B2CF9AE}" pid="21" name="ICV">
    <vt:lpwstr>03496DEE90084AF3A51273A4D0677960</vt:lpwstr>
  </property>
</Properties>
</file>