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76" w:lineRule="auto"/>
      </w:pPr>
      <w:r>
        <w:pict>
          <v:shape id="_x0000_s1026" o:spid="_x0000_s1026" o:spt="136" type="#_x0000_t136" style="position:absolute;left:0pt;margin-left:0pt;margin-top:0pt;height:50pt;width:50pt;visibility:hidden;z-index:251659264;mso-width-relative:page;mso-height-relative:page;" coordsize="21600,21600">
            <v:path/>
            <v:fill focussize="0,0"/>
            <v:stroke/>
            <v:imagedata o:title=""/>
            <o:lock v:ext="edit" selection="t"/>
            <v:textpath on="f" fitpath="t" trim="t" xscale="f" string="" style="font-size:36pt;v-text-align:center;"/>
          </v:shape>
        </w:pict>
      </w: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Helvetica Neue Light" w:hAnsi="Helvetica Neue Light" w:eastAsia="Helvetica Neue Light" w:cs="Helvetica Neue Light"/>
        </w:rPr>
      </w:pPr>
    </w:p>
    <w:p>
      <w:pPr>
        <w:rPr>
          <w:rFonts w:ascii="Arial" w:hAnsi="Arial" w:eastAsia="Arial" w:cs="Arial"/>
          <w:color w:val="000000"/>
        </w:rPr>
      </w:pPr>
      <w:r>
        <w:rPr>
          <w:rFonts w:ascii="Arial" w:hAnsi="Arial" w:eastAsia="Arial" w:cs="Arial"/>
          <w:color w:val="000000"/>
        </w:rPr>
        <w:t xml:space="preserve"> </w:t>
      </w:r>
    </w:p>
    <w:p>
      <w:pPr>
        <w:rPr>
          <w:rFonts w:ascii="Arial" w:hAnsi="Arial" w:eastAsia="Arial" w:cs="Arial"/>
          <w:color w:val="000000"/>
        </w:rPr>
      </w:pPr>
      <w:r>
        <w:rPr>
          <w:rFonts w:ascii="Arial" w:hAnsi="Arial" w:eastAsia="Arial" w:cs="Arial"/>
          <w:color w:val="000000"/>
        </w:rPr>
        <w:t xml:space="preserve"> </w:t>
      </w:r>
    </w:p>
    <w:p>
      <w:pPr>
        <w:spacing w:line="240" w:lineRule="auto"/>
        <w:jc w:val="center"/>
        <w:rPr>
          <w:rFonts w:ascii="Helvetica Neue Light" w:hAnsi="Helvetica Neue Light" w:eastAsia="Helvetica Neue Light" w:cs="Helvetica Neue Light"/>
          <w:sz w:val="32"/>
          <w:szCs w:val="32"/>
          <w:lang w:eastAsia="es-CL"/>
        </w:rPr>
      </w:pPr>
      <w:r>
        <w:rPr>
          <w:rFonts w:ascii="Helvetica Neue Light" w:hAnsi="Helvetica Neue Light" w:eastAsia="Helvetica Neue Light" w:cs="Helvetica Neue Light"/>
          <w:sz w:val="32"/>
          <w:szCs w:val="32"/>
          <w:lang w:eastAsia="es-CL"/>
        </w:rPr>
        <w:t>Programación de equipos de medida para visualización de valores almacenados y gestión de relaciones de transformación</w:t>
      </w:r>
    </w:p>
    <w:p>
      <w:pPr>
        <w:spacing w:line="240" w:lineRule="auto"/>
        <w:jc w:val="center"/>
        <w:rPr>
          <w:rFonts w:hint="default" w:ascii="Helvetica Neue Light" w:hAnsi="Helvetica Neue Light" w:eastAsia="Helvetica Neue Light" w:cs="Helvetica Neue Light"/>
          <w:b/>
          <w:bCs/>
          <w:sz w:val="32"/>
          <w:szCs w:val="32"/>
          <w:lang w:val="es-CL" w:eastAsia="es-CL"/>
        </w:rPr>
      </w:pPr>
      <w:r>
        <w:rPr>
          <w:rFonts w:hint="default" w:ascii="Helvetica Neue Light" w:hAnsi="Helvetica Neue Light" w:eastAsia="Helvetica Neue Light" w:cs="Helvetica Neue Light"/>
          <w:b/>
          <w:bCs/>
          <w:sz w:val="32"/>
          <w:szCs w:val="32"/>
          <w:lang w:val="es-CL" w:eastAsia="es-CL"/>
        </w:rPr>
        <w:t>Starbeat</w:t>
      </w: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jc w:val="center"/>
        <w:rPr>
          <w:rFonts w:ascii="Helvetica Neue Light" w:hAnsi="Helvetica Neue Light" w:eastAsia="Helvetica Neue Light" w:cs="Helvetica Neue Light"/>
        </w:rPr>
      </w:pPr>
    </w:p>
    <w:p>
      <w:pPr>
        <w:rPr>
          <w:rFonts w:ascii="Helvetica Neue Light" w:hAnsi="Helvetica Neue Light" w:eastAsia="Helvetica Neue Light" w:cs="Helvetica Neue Light"/>
        </w:rPr>
      </w:pPr>
    </w:p>
    <w:tbl>
      <w:tblPr>
        <w:tblStyle w:val="29"/>
        <w:tblW w:w="93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9" w:type="dxa"/>
          <w:left w:w="107" w:type="dxa"/>
          <w:bottom w:w="0" w:type="dxa"/>
          <w:right w:w="115" w:type="dxa"/>
        </w:tblCellMar>
      </w:tblPr>
      <w:tblGrid>
        <w:gridCol w:w="801"/>
        <w:gridCol w:w="1316"/>
        <w:gridCol w:w="1706"/>
        <w:gridCol w:w="55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9352" w:type="dxa"/>
            <w:gridSpan w:val="4"/>
            <w:shd w:val="clear" w:color="auto" w:fill="D7D7D7"/>
          </w:tcPr>
          <w:p>
            <w:pPr>
              <w:spacing w:line="259" w:lineRule="auto"/>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Control de versiones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shd w:val="clear" w:color="auto" w:fill="D7D7D7"/>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Versión </w:t>
            </w:r>
          </w:p>
        </w:tc>
        <w:tc>
          <w:tcPr>
            <w:tcW w:w="131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Fecha </w:t>
            </w:r>
          </w:p>
        </w:tc>
        <w:tc>
          <w:tcPr>
            <w:tcW w:w="1706"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 xml:space="preserve">Autor </w:t>
            </w:r>
          </w:p>
        </w:tc>
        <w:tc>
          <w:tcPr>
            <w:tcW w:w="5529" w:type="dxa"/>
            <w:shd w:val="clear" w:color="auto" w:fill="D7D7D7"/>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Descripción del cambio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9" w:type="dxa"/>
            <w:left w:w="107" w:type="dxa"/>
            <w:bottom w:w="0" w:type="dxa"/>
            <w:right w:w="115" w:type="dxa"/>
          </w:tblCellMar>
        </w:tblPrEx>
        <w:trPr>
          <w:trHeight w:val="20" w:hRule="atLeast"/>
        </w:trPr>
        <w:tc>
          <w:tcPr>
            <w:tcW w:w="801" w:type="dxa"/>
          </w:tcPr>
          <w:p>
            <w:pPr>
              <w:spacing w:line="259" w:lineRule="auto"/>
              <w:rPr>
                <w:rFonts w:ascii="Helvetica Neue Light" w:hAnsi="Helvetica Neue Light" w:eastAsia="Helvetica Neue Light" w:cs="Helvetica Neue Light"/>
                <w:sz w:val="18"/>
                <w:szCs w:val="18"/>
              </w:rPr>
            </w:pPr>
            <w:r>
              <w:rPr>
                <w:szCs w:val="20"/>
              </w:rPr>
              <w:t xml:space="preserve">A </w:t>
            </w:r>
          </w:p>
        </w:tc>
        <w:tc>
          <w:tcPr>
            <w:tcW w:w="1316" w:type="dxa"/>
          </w:tcPr>
          <w:p>
            <w:pPr>
              <w:spacing w:line="259" w:lineRule="auto"/>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05/10/2021</w:t>
            </w:r>
          </w:p>
        </w:tc>
        <w:tc>
          <w:tcPr>
            <w:tcW w:w="1706"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Yiris Majluf</w:t>
            </w:r>
          </w:p>
        </w:tc>
        <w:tc>
          <w:tcPr>
            <w:tcW w:w="5529" w:type="dxa"/>
          </w:tcPr>
          <w:p>
            <w:pPr>
              <w:spacing w:line="259" w:lineRule="auto"/>
              <w:ind w:left="1"/>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rPr>
              <w:t>Publicación Inicial</w:t>
            </w:r>
          </w:p>
        </w:tc>
      </w:tr>
    </w:tbl>
    <w:p>
      <w:pPr>
        <w:rPr>
          <w:rFonts w:ascii="Helvetica Neue Light" w:hAnsi="Helvetica Neue Light" w:eastAsia="Helvetica Neue Light" w:cs="Helvetica Neue Light"/>
          <w:b/>
          <w:szCs w:val="20"/>
        </w:rPr>
      </w:pPr>
    </w:p>
    <w:p>
      <w:pPr>
        <w:pStyle w:val="26"/>
      </w:pPr>
      <w:r>
        <w:t>Resumen</w:t>
      </w:r>
    </w:p>
    <w:p>
      <w:pPr>
        <w:spacing w:line="240" w:lineRule="auto"/>
        <w:rPr>
          <w:rFonts w:ascii="Helvetica Neue Light" w:hAnsi="Helvetica Neue Light" w:eastAsia="Helvetica Neue Light" w:cs="Helvetica Neue Light"/>
          <w:b/>
          <w:szCs w:val="20"/>
        </w:rPr>
      </w:pPr>
    </w:p>
    <w:p>
      <w:r>
        <w:t>El presente documento tiene por objetivo describir el proceso de programación de los equipos de medida para la visualización de los valores almacenados en los registros de memoria. El documento hará referencia los medidores de las marcas ITRON, EMH e ISKRA, donde se detallará el proceso de configuración de estos.</w:t>
      </w:r>
    </w:p>
    <w:p>
      <w:r>
        <w:t>La configuración inicial de los medidores, para los valores desplegados en pantalla, como para los valores almacenados en sus curvas de carga se hace mediante la interacción con el software propietario de los mismos, mediante la utilización scripts con el perfil de lectura para monitoreo.</w:t>
      </w:r>
    </w:p>
    <w:p/>
    <w:p>
      <w:pPr>
        <w:pStyle w:val="26"/>
      </w:pPr>
      <w:r>
        <w:t>ITRON:</w:t>
      </w:r>
    </w:p>
    <w:p>
      <w:r>
        <w:t xml:space="preserve">Para el caso de los medidores marca ITRON, se utiliza el software propietario ACE PILOT versión 7.2, el cual permite la conexión remota al medidor, permitiendo configurarlo sin tener la necesidad de tener la unidad en las manos. </w:t>
      </w:r>
    </w:p>
    <w:p/>
    <w:p>
      <w:pPr>
        <w:keepNext/>
        <w:jc w:val="center"/>
      </w:pPr>
      <w:r>
        <w:drawing>
          <wp:inline distT="0" distB="0" distL="0" distR="0">
            <wp:extent cx="3488055" cy="2186305"/>
            <wp:effectExtent l="0" t="0" r="0" b="4445"/>
            <wp:docPr id="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pic:cNvPicPr>
                      <a:picLocks noChangeAspect="1"/>
                    </pic:cNvPicPr>
                  </pic:nvPicPr>
                  <pic:blipFill>
                    <a:blip r:embed="rId12"/>
                    <a:stretch>
                      <a:fillRect/>
                    </a:stretch>
                  </pic:blipFill>
                  <pic:spPr>
                    <a:xfrm>
                      <a:off x="0" y="0"/>
                      <a:ext cx="3491400" cy="2188450"/>
                    </a:xfrm>
                    <a:prstGeom prst="rect">
                      <a:avLst/>
                    </a:prstGeom>
                  </pic:spPr>
                </pic:pic>
              </a:graphicData>
            </a:graphic>
          </wp:inline>
        </w:drawing>
      </w:r>
    </w:p>
    <w:p>
      <w:pPr>
        <w:pStyle w:val="12"/>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1</w:t>
      </w:r>
      <w:r>
        <w:rPr>
          <w:color w:val="auto"/>
        </w:rPr>
        <w:fldChar w:fldCharType="end"/>
      </w:r>
      <w:r>
        <w:rPr>
          <w:color w:val="auto"/>
        </w:rPr>
        <w:t xml:space="preserve"> - "Vista inicial ACE PILOT"</w:t>
      </w:r>
    </w:p>
    <w:p/>
    <w:p>
      <w:r>
        <w:t>Las licencias de este software son limitadas y son gestionadas por la empresa que se encarga de la venta de las unidades de medida.</w:t>
      </w:r>
    </w:p>
    <w:p>
      <w:r>
        <w:t>Dentro de este software se puede preparar el archivo de configuración que será utilizado para cargarlo dentro del medidor, en el se puede definir la cantidad de decimales que presentará la unidad de medida al momento de capturar las curvas de carga.</w:t>
      </w:r>
    </w:p>
    <w:p>
      <w:r>
        <w:t>Para llegar al menú de configuración de curvas de carga se utiliza la siguiente ruta dentro de ACE PILOT:</w:t>
      </w:r>
    </w:p>
    <w:p>
      <w:pPr>
        <w:pStyle w:val="24"/>
        <w:numPr>
          <w:ilvl w:val="0"/>
          <w:numId w:val="1"/>
        </w:numPr>
      </w:pPr>
      <w:r>
        <w:t xml:space="preserve">Menú Principal </w:t>
      </w:r>
      <w:r>
        <w:rPr/>
        <w:sym w:font="Wingdings" w:char="F0E0"/>
      </w:r>
      <w:r>
        <w:t xml:space="preserve"> Submenú de configuración </w:t>
      </w:r>
      <w:r>
        <w:rPr/>
        <w:sym w:font="Wingdings" w:char="F0E0"/>
      </w:r>
      <w:r>
        <w:t xml:space="preserve"> Abrir lista </w:t>
      </w:r>
      <w:r>
        <w:rPr/>
        <w:sym w:font="Wingdings" w:char="F0E0"/>
      </w:r>
      <w:r>
        <w:t xml:space="preserve"> Nuevo </w:t>
      </w:r>
      <w:r>
        <w:rPr/>
        <w:sym w:font="Wingdings" w:char="F0E0"/>
      </w:r>
      <w:r>
        <w:t xml:space="preserve"> SL7000.</w:t>
      </w:r>
    </w:p>
    <w:p>
      <w:pPr>
        <w:keepNext/>
        <w:jc w:val="center"/>
      </w:pPr>
      <w:r>
        <w:drawing>
          <wp:inline distT="0" distB="0" distL="0" distR="0">
            <wp:extent cx="3971290" cy="2865120"/>
            <wp:effectExtent l="0" t="0" r="0" b="0"/>
            <wp:docPr id="2" name="Imagen 2"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10;&#10;Descripción generada automáticamente con confianza media"/>
                    <pic:cNvPicPr>
                      <a:picLocks noChangeAspect="1"/>
                    </pic:cNvPicPr>
                  </pic:nvPicPr>
                  <pic:blipFill>
                    <a:blip r:embed="rId13"/>
                    <a:stretch>
                      <a:fillRect/>
                    </a:stretch>
                  </pic:blipFill>
                  <pic:spPr>
                    <a:xfrm>
                      <a:off x="0" y="0"/>
                      <a:ext cx="3974108" cy="2867217"/>
                    </a:xfrm>
                    <a:prstGeom prst="rect">
                      <a:avLst/>
                    </a:prstGeom>
                  </pic:spPr>
                </pic:pic>
              </a:graphicData>
            </a:graphic>
          </wp:inline>
        </w:drawing>
      </w:r>
    </w:p>
    <w:p>
      <w:pPr>
        <w:pStyle w:val="12"/>
        <w:jc w:val="center"/>
        <w:rPr>
          <w:color w:val="auto"/>
        </w:rPr>
      </w:pPr>
      <w:r>
        <w:rPr>
          <w:color w:val="auto"/>
        </w:rPr>
        <w:t xml:space="preserve">Ilustración </w:t>
      </w:r>
      <w:r>
        <w:rPr>
          <w:color w:val="auto"/>
        </w:rPr>
        <w:fldChar w:fldCharType="begin"/>
      </w:r>
      <w:r>
        <w:rPr>
          <w:color w:val="auto"/>
        </w:rPr>
        <w:instrText xml:space="preserve"> SEQ Ilustración \* ARABIC </w:instrText>
      </w:r>
      <w:r>
        <w:rPr>
          <w:color w:val="auto"/>
        </w:rPr>
        <w:fldChar w:fldCharType="separate"/>
      </w:r>
      <w:r>
        <w:rPr>
          <w:color w:val="auto"/>
        </w:rPr>
        <w:t>2</w:t>
      </w:r>
      <w:r>
        <w:rPr>
          <w:color w:val="auto"/>
        </w:rPr>
        <w:fldChar w:fldCharType="end"/>
      </w:r>
      <w:r>
        <w:rPr>
          <w:color w:val="auto"/>
        </w:rPr>
        <w:t xml:space="preserve"> - "Lista de configuración"</w:t>
      </w:r>
    </w:p>
    <w:p>
      <w:r>
        <w:t>Luego una vez se ingresa a la nueva configuración debemos seguir los siguientes pasos:</w:t>
      </w:r>
    </w:p>
    <w:p>
      <w:pPr>
        <w:pStyle w:val="24"/>
        <w:numPr>
          <w:ilvl w:val="0"/>
          <w:numId w:val="1"/>
        </w:numPr>
      </w:pPr>
      <w:r>
        <w:t xml:space="preserve">Curva de carga </w:t>
      </w:r>
      <w:r>
        <w:rPr/>
        <w:sym w:font="Wingdings" w:char="F0E0"/>
      </w:r>
      <w:r>
        <w:t xml:space="preserve"> Curva de carga 1 o curva de carga 2</w:t>
      </w:r>
    </w:p>
    <w:p>
      <w:pPr>
        <w:keepNext/>
        <w:jc w:val="center"/>
      </w:pPr>
      <w:r>
        <w:drawing>
          <wp:inline distT="0" distB="0" distL="0" distR="0">
            <wp:extent cx="4087495" cy="2841625"/>
            <wp:effectExtent l="0" t="0" r="8255" b="0"/>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a:picLocks noChangeAspect="1"/>
                    </pic:cNvPicPr>
                  </pic:nvPicPr>
                  <pic:blipFill>
                    <a:blip r:embed="rId14"/>
                    <a:stretch>
                      <a:fillRect/>
                    </a:stretch>
                  </pic:blipFill>
                  <pic:spPr>
                    <a:xfrm>
                      <a:off x="0" y="0"/>
                      <a:ext cx="4091219" cy="2844621"/>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3</w:t>
      </w:r>
      <w:r>
        <w:fldChar w:fldCharType="end"/>
      </w:r>
      <w:r>
        <w:t xml:space="preserve"> - "Edición de curva de carga 1"</w:t>
      </w:r>
    </w:p>
    <w:p>
      <w:r>
        <w:t xml:space="preserve">Para el caso de la ilustración 3 – “Vista de curva de carga”, podemos observar dos factores principales, la unidad en la cual se realiza la medición y la cantidad de decimales que presentará la unidad de medida, en este caso al estar configurado en 10^-1 la información la mostrará con una precisión de 1 decimal una vez sea capturada. </w:t>
      </w:r>
    </w:p>
    <w:p>
      <w:pPr>
        <w:keepNext/>
        <w:jc w:val="center"/>
      </w:pPr>
      <w:r>
        <w:drawing>
          <wp:inline distT="0" distB="0" distL="0" distR="0">
            <wp:extent cx="3923665" cy="2068195"/>
            <wp:effectExtent l="0" t="0" r="635" b="8255"/>
            <wp:docPr id="5"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pic:cNvPicPr>
                      <a:picLocks noChangeAspect="1"/>
                    </pic:cNvPicPr>
                  </pic:nvPicPr>
                  <pic:blipFill>
                    <a:blip r:embed="rId15"/>
                    <a:srcRect b="23650"/>
                    <a:stretch>
                      <a:fillRect/>
                    </a:stretch>
                  </pic:blipFill>
                  <pic:spPr>
                    <a:xfrm>
                      <a:off x="0" y="0"/>
                      <a:ext cx="3935585" cy="2074782"/>
                    </a:xfrm>
                    <a:prstGeom prst="rect">
                      <a:avLst/>
                    </a:prstGeom>
                    <a:ln>
                      <a:noFill/>
                    </a:ln>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4</w:t>
      </w:r>
      <w:r>
        <w:fldChar w:fldCharType="end"/>
      </w:r>
      <w:r>
        <w:t xml:space="preserve"> - "Edición de curva de carga 2"</w:t>
      </w:r>
    </w:p>
    <w:p>
      <w:r>
        <w:t>Respecto a la curva de carga 2, nos encontramos con la información de voltaje y corriente que captura la unidad de medida, también mostrando la unidad en la cual realiza la medición y la cantidad de decimales que mostrará en pantalla. Para el caso de la ilustración 4 – “Edición de curva de carga 2”, se puede verificar que se lee el voltaje y corriente por cada fase, para el voltaje captura solo 1 decimal, mientras que para la corriente tiene una precisión de 3 decimales.</w:t>
      </w:r>
    </w:p>
    <w:p/>
    <w:p>
      <w:pPr>
        <w:rPr>
          <w:rFonts w:hint="default"/>
          <w:lang w:val="es-CL"/>
        </w:rPr>
      </w:pPr>
      <w:r>
        <w:rPr>
          <w:rFonts w:hint="default"/>
          <w:lang w:val="es-CL"/>
        </w:rPr>
        <w:t>Adicionalmente, se adjunta ejemplos de registros extraídos desde la plataforma Starbeat para medidor ITRON:</w:t>
      </w:r>
    </w:p>
    <w:p>
      <w:pPr>
        <w:jc w:val="center"/>
        <w:rPr>
          <w:rFonts w:hint="default"/>
          <w:lang w:val="es-CL"/>
        </w:rPr>
      </w:pPr>
      <w:r>
        <w:rPr>
          <w:rFonts w:hint="default"/>
          <w:lang w:val="es-CL"/>
        </w:rPr>
        <w:object>
          <v:shape id="_x0000_i1026" o:spt="75" type="#_x0000_t75" style="height:66pt;width:72.75pt;" o:ole="t" filled="f" o:preferrelative="t" stroked="f" coordsize="21600,21600">
            <v:fill on="f" focussize="0,0"/>
            <v:stroke on="f"/>
            <v:imagedata r:id="rId17" o:title=""/>
            <o:lock v:ext="edit" aspectratio="t"/>
            <w10:wrap type="none"/>
            <w10:anchorlock/>
          </v:shape>
          <o:OLEObject Type="Embed" ProgID="Package" ShapeID="_x0000_i1026" DrawAspect="Icon" ObjectID="_1468075725" r:id="rId16">
            <o:LockedField>false</o:LockedField>
          </o:OLEObject>
        </w:object>
      </w:r>
    </w:p>
    <w:p/>
    <w:p>
      <w:pPr>
        <w:pStyle w:val="26"/>
      </w:pPr>
      <w:r>
        <w:t>SL7000</w:t>
      </w:r>
      <w:r>
        <w:rPr>
          <w:rFonts w:hint="default"/>
          <w:lang w:val="es-CL"/>
        </w:rPr>
        <w:t xml:space="preserve"> -ITRON</w:t>
      </w:r>
      <w:r>
        <w:t>, gestión de relaciones de transformación</w:t>
      </w:r>
    </w:p>
    <w:p>
      <w:r>
        <w:t>Para el caso de configurar la relación de transformación directamente en la unidad de medida, es posible realizarlo también a través del software propietario en la sección de metrología, menú de conexión.</w:t>
      </w:r>
    </w:p>
    <w:p>
      <w:pPr>
        <w:keepNext/>
      </w:pPr>
      <w:r>
        <w:drawing>
          <wp:inline distT="0" distB="0" distL="0" distR="0">
            <wp:extent cx="5943600" cy="814070"/>
            <wp:effectExtent l="0" t="0" r="0" b="5080"/>
            <wp:docPr id="7" name="Imagen 7"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 Word&#10;&#10;Descripción generada automáticamente"/>
                    <pic:cNvPicPr>
                      <a:picLocks noChangeAspect="1"/>
                    </pic:cNvPicPr>
                  </pic:nvPicPr>
                  <pic:blipFill>
                    <a:blip r:embed="rId18"/>
                    <a:stretch>
                      <a:fillRect/>
                    </a:stretch>
                  </pic:blipFill>
                  <pic:spPr>
                    <a:xfrm>
                      <a:off x="0" y="0"/>
                      <a:ext cx="5943600" cy="814070"/>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5</w:t>
      </w:r>
      <w:r>
        <w:fldChar w:fldCharType="end"/>
      </w:r>
      <w:r>
        <w:t xml:space="preserve"> - "Configuración de relación de transformación SL7000"</w:t>
      </w:r>
    </w:p>
    <w:p>
      <w:r>
        <w:t xml:space="preserve">En nuestro caso para la instalación trabajamos con transformadores de corriente, generalmente de una relación de 300 a 5, esto puede ser configurado en el menú mencionado para que los valores de la curva de carga se transformen directamente. </w:t>
      </w:r>
    </w:p>
    <w:p/>
    <w:p>
      <w:pPr>
        <w:pStyle w:val="26"/>
      </w:pPr>
      <w:r>
        <w:t>EMH:</w:t>
      </w:r>
    </w:p>
    <w:p>
      <w:r>
        <w:t xml:space="preserve">Para la opción de medidores EMH en el modelo LZQJ-XC, tenemos el software “Combi-Master” que permite prestaciones similares a las descritas para “Ace Pilot”, dejando la opción de realizar una conexión remota a la unidad de medida para cargar la configuración. </w:t>
      </w:r>
    </w:p>
    <w:p>
      <w:r>
        <w:t xml:space="preserve">En este caso, para poder realizar la comunicación es necesario indicar el protocolo que se utilizará, la dirección IP y el puerto. Además del número de medidor al que estamos apuntando.  </w:t>
      </w:r>
    </w:p>
    <w:p>
      <w:pPr>
        <w:keepNext/>
        <w:jc w:val="center"/>
      </w:pPr>
      <w:r>
        <w:drawing>
          <wp:inline distT="0" distB="0" distL="0" distR="0">
            <wp:extent cx="3186430" cy="2249805"/>
            <wp:effectExtent l="0" t="0" r="0" b="0"/>
            <wp:docPr id="6"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10;&#10;Descripción generada automáticamente"/>
                    <pic:cNvPicPr>
                      <a:picLocks noChangeAspect="1"/>
                    </pic:cNvPicPr>
                  </pic:nvPicPr>
                  <pic:blipFill>
                    <a:blip r:embed="rId19"/>
                    <a:stretch>
                      <a:fillRect/>
                    </a:stretch>
                  </pic:blipFill>
                  <pic:spPr>
                    <a:xfrm>
                      <a:off x="0" y="0"/>
                      <a:ext cx="3197862" cy="2257977"/>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6</w:t>
      </w:r>
      <w:r>
        <w:fldChar w:fldCharType="end"/>
      </w:r>
      <w:r>
        <w:t xml:space="preserve"> - "Conexión al medidor por Combi Master"</w:t>
      </w:r>
    </w:p>
    <w:p/>
    <w:p>
      <w:r>
        <w:t>Mediante la utilización del software propietario es posible configurar la cantidad de decimales que serán capturados por la curva de carga, véase la ilustración 7 – “Despliegue de variables de medida”, donde se puede observar la cantidad de números enteros y decimales que registra el medidor.</w:t>
      </w:r>
    </w:p>
    <w:p>
      <w:pPr>
        <w:pStyle w:val="26"/>
        <w:keepNext/>
        <w:jc w:val="center"/>
      </w:pPr>
      <w:r>
        <w:drawing>
          <wp:inline distT="0" distB="0" distL="0" distR="0">
            <wp:extent cx="3964305" cy="2122170"/>
            <wp:effectExtent l="0" t="0" r="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a:picLocks noChangeAspect="1"/>
                    </pic:cNvPicPr>
                  </pic:nvPicPr>
                  <pic:blipFill>
                    <a:blip r:embed="rId20"/>
                    <a:stretch>
                      <a:fillRect/>
                    </a:stretch>
                  </pic:blipFill>
                  <pic:spPr>
                    <a:xfrm>
                      <a:off x="0" y="0"/>
                      <a:ext cx="3964675" cy="2122540"/>
                    </a:xfrm>
                    <a:prstGeom prst="rect">
                      <a:avLst/>
                    </a:prstGeom>
                  </pic:spPr>
                </pic:pic>
              </a:graphicData>
            </a:graphic>
          </wp:inline>
        </w:drawing>
      </w:r>
    </w:p>
    <w:p>
      <w:pPr>
        <w:pStyle w:val="12"/>
        <w:jc w:val="center"/>
      </w:pPr>
      <w:r>
        <w:t xml:space="preserve">Ilustración </w:t>
      </w:r>
      <w:r>
        <w:fldChar w:fldCharType="begin"/>
      </w:r>
      <w:r>
        <w:instrText xml:space="preserve"> SEQ Ilustración \* ARABIC </w:instrText>
      </w:r>
      <w:r>
        <w:fldChar w:fldCharType="separate"/>
      </w:r>
      <w:r>
        <w:t>7</w:t>
      </w:r>
      <w:r>
        <w:fldChar w:fldCharType="end"/>
      </w:r>
      <w:r>
        <w:t xml:space="preserve"> - "Despliegue de variables de medida"</w:t>
      </w:r>
    </w:p>
    <w:p>
      <w:pPr>
        <w:rPr>
          <w:rFonts w:hint="default"/>
          <w:lang w:val="es-CL"/>
        </w:rPr>
      </w:pPr>
    </w:p>
    <w:p>
      <w:pPr>
        <w:rPr>
          <w:rFonts w:hint="default"/>
          <w:lang w:val="es-CL"/>
        </w:rPr>
      </w:pPr>
      <w:r>
        <w:rPr>
          <w:rFonts w:hint="default"/>
          <w:lang w:val="es-CL"/>
        </w:rPr>
        <w:t>Adicionalmente, se adjunta ejemplos de registros extraídos desde la plataforma Starbeat para medidor EMH:</w:t>
      </w:r>
    </w:p>
    <w:p>
      <w:pPr>
        <w:pStyle w:val="26"/>
        <w:jc w:val="center"/>
      </w:pPr>
      <w:r>
        <w:rPr>
          <w:rFonts w:hint="default"/>
          <w:lang w:val="es-CL"/>
        </w:rPr>
        <w:object>
          <v:shape id="_x0000_i1029" o:spt="75" type="#_x0000_t75" style="height:66pt;width:72.75pt;" o:ole="t" filled="f" o:preferrelative="t" stroked="f" coordsize="21600,21600">
            <v:path/>
            <v:fill on="f" focussize="0,0"/>
            <v:stroke on="f"/>
            <v:imagedata r:id="rId22" o:title=""/>
            <o:lock v:ext="edit" aspectratio="t"/>
            <w10:wrap type="none"/>
            <w10:anchorlock/>
          </v:shape>
          <o:OLEObject Type="Embed" ProgID="Package" ShapeID="_x0000_i1029" DrawAspect="Icon" ObjectID="_1468075726" r:id="rId21">
            <o:LockedField>false</o:LockedField>
          </o:OLEObject>
        </w:object>
      </w:r>
    </w:p>
    <w:p>
      <w:pPr>
        <w:pStyle w:val="26"/>
        <w:jc w:val="left"/>
      </w:pPr>
    </w:p>
    <w:p>
      <w:pPr>
        <w:pStyle w:val="26"/>
        <w:jc w:val="left"/>
      </w:pPr>
      <w:r>
        <w:t>EMH, gestión de relaciones de transformación</w:t>
      </w:r>
    </w:p>
    <w:p>
      <w:r>
        <w:t>A través del software propietario también se pueden administrar las relaciones de transformación con las cuales se trabajará, para poder realizar esta acción es necesario acceder al menú de configuración e ingresar los valores con los cuales se realizará la medida, luego se puede consultar la relación establecida ver ilustración 7 – “Despliegue de variables de medida”</w:t>
      </w:r>
    </w:p>
    <w:p/>
    <w:p>
      <w:pPr>
        <w:rPr>
          <w:rFonts w:hint="default" w:ascii="Helvetica Neue Light" w:hAnsi="Helvetica Neue Light" w:eastAsia="Helvetica Neue Light" w:cs="Helvetica Neue Light"/>
          <w:b/>
          <w:szCs w:val="20"/>
          <w:lang w:val="es-CL" w:eastAsia="en-US" w:bidi="ar-SA"/>
        </w:rPr>
      </w:pPr>
      <w:r>
        <w:rPr>
          <w:rFonts w:hint="default" w:ascii="Helvetica Neue Light" w:hAnsi="Helvetica Neue Light" w:eastAsia="Helvetica Neue Light" w:cs="Helvetica Neue Light"/>
          <w:b/>
          <w:szCs w:val="20"/>
          <w:lang w:val="es-CL" w:eastAsia="en-US" w:bidi="ar-SA"/>
        </w:rPr>
        <w:t>Configuración relación de transformación Starbeat</w:t>
      </w:r>
    </w:p>
    <w:p>
      <w:pPr>
        <w:rPr>
          <w:rFonts w:hint="default"/>
          <w:lang w:val="es-CL" w:eastAsia="en-US"/>
        </w:rPr>
      </w:pPr>
      <w:r>
        <w:rPr>
          <w:rFonts w:hint="default"/>
          <w:lang w:val="es-CL" w:eastAsia="en-US"/>
        </w:rPr>
        <w:t>Starbeat, permite configurar la relación de transformación en caso que se dese administrar en Starbeat y no configurarlo en los medidores.</w:t>
      </w:r>
    </w:p>
    <w:p>
      <w:pPr>
        <w:rPr>
          <w:rFonts w:hint="default"/>
          <w:lang w:val="es-CL" w:eastAsia="en-US"/>
        </w:rPr>
      </w:pPr>
    </w:p>
    <w:p>
      <w:pPr>
        <w:rPr>
          <w:rFonts w:hint="default"/>
          <w:lang w:val="es-CL" w:eastAsia="en-US"/>
        </w:rPr>
      </w:pPr>
      <w:r>
        <w:rPr>
          <w:rFonts w:hint="default"/>
          <w:lang w:val="es-CL" w:eastAsia="en-US"/>
        </w:rPr>
        <w:t xml:space="preserve">Se adjunta imagen de captura de Starbeat donde se visualiza la configuración y habilitación de la relación de transformación en  el módulo de carga del medidor. </w:t>
      </w:r>
    </w:p>
    <w:p>
      <w:r>
        <w:drawing>
          <wp:inline distT="0" distB="0" distL="114300" distR="114300">
            <wp:extent cx="6028055" cy="3119755"/>
            <wp:effectExtent l="0" t="0" r="10795" b="4445"/>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23"/>
                    <a:stretch>
                      <a:fillRect/>
                    </a:stretch>
                  </pic:blipFill>
                  <pic:spPr>
                    <a:xfrm>
                      <a:off x="0" y="0"/>
                      <a:ext cx="6028055" cy="3119755"/>
                    </a:xfrm>
                    <a:prstGeom prst="rect">
                      <a:avLst/>
                    </a:prstGeom>
                    <a:noFill/>
                    <a:ln>
                      <a:noFill/>
                    </a:ln>
                  </pic:spPr>
                </pic:pic>
              </a:graphicData>
            </a:graphic>
          </wp:inline>
        </w:drawing>
      </w:r>
    </w:p>
    <w:p/>
    <w:p>
      <w:pPr>
        <w:rPr>
          <w:rFonts w:hint="default"/>
          <w:lang w:val="es-CL"/>
        </w:rPr>
      </w:pPr>
      <w:r>
        <w:rPr>
          <w:rFonts w:hint="default"/>
          <w:lang w:val="es-CL"/>
        </w:rPr>
        <w:drawing>
          <wp:inline distT="0" distB="0" distL="114300" distR="114300">
            <wp:extent cx="5937885" cy="1917700"/>
            <wp:effectExtent l="0" t="0" r="5715" b="6350"/>
            <wp:docPr id="10" name="Imagen 10" descr="Captura_SL7000_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ptura_SL7000_Cte."/>
                    <pic:cNvPicPr>
                      <a:picLocks noChangeAspect="1"/>
                    </pic:cNvPicPr>
                  </pic:nvPicPr>
                  <pic:blipFill>
                    <a:blip r:embed="rId24"/>
                    <a:stretch>
                      <a:fillRect/>
                    </a:stretch>
                  </pic:blipFill>
                  <pic:spPr>
                    <a:xfrm>
                      <a:off x="0" y="0"/>
                      <a:ext cx="5937885" cy="1917700"/>
                    </a:xfrm>
                    <a:prstGeom prst="rect">
                      <a:avLst/>
                    </a:prstGeom>
                  </pic:spPr>
                </pic:pic>
              </a:graphicData>
            </a:graphic>
          </wp:inline>
        </w:drawing>
      </w:r>
    </w:p>
    <w:p>
      <w:pPr>
        <w:pStyle w:val="12"/>
        <w:jc w:val="center"/>
      </w:pPr>
      <w:r>
        <w:t xml:space="preserve">Ilustración </w:t>
      </w:r>
      <w:r>
        <w:rPr>
          <w:rFonts w:hint="default"/>
          <w:lang w:val="es-CL"/>
        </w:rPr>
        <w:t>8</w:t>
      </w:r>
      <w:r>
        <w:t xml:space="preserve"> - "</w:t>
      </w:r>
      <w:r>
        <w:rPr>
          <w:rFonts w:hint="default"/>
          <w:lang w:val="es-CL"/>
        </w:rPr>
        <w:t>Módulo de medidor - Configuración relación de transformación - Starbeat</w:t>
      </w:r>
      <w:r>
        <w:t>"</w:t>
      </w:r>
    </w:p>
    <w:p>
      <w:pPr>
        <w:spacing w:line="276" w:lineRule="auto"/>
        <w:rPr>
          <w:sz w:val="32"/>
          <w:szCs w:val="32"/>
        </w:rPr>
      </w:pPr>
    </w:p>
    <w:p>
      <w:pPr>
        <w:spacing w:line="276" w:lineRule="auto"/>
        <w:rPr>
          <w:sz w:val="32"/>
          <w:szCs w:val="32"/>
        </w:rPr>
      </w:pPr>
    </w:p>
    <w:p>
      <w:pPr>
        <w:spacing w:line="276" w:lineRule="auto"/>
        <w:rPr>
          <w:sz w:val="32"/>
          <w:szCs w:val="32"/>
        </w:rPr>
      </w:pPr>
    </w:p>
    <w:p>
      <w:pPr>
        <w:jc w:val="center"/>
        <w:rPr>
          <w:rFonts w:ascii="Helvetica Light" w:hAnsi="Helvetica Light"/>
          <w:color w:val="FF0000"/>
          <w:szCs w:val="20"/>
          <w:lang w:val="es-ES"/>
        </w:rPr>
      </w:pPr>
      <w:r>
        <w:rPr>
          <w:sz w:val="32"/>
          <w:szCs w:val="32"/>
        </w:rPr>
        <w:t>-FIN DE DOCUMENTO-</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Neue Light">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Light">
    <w:altName w:val="AMGDT"/>
    <w:panose1 w:val="00000000000000000000"/>
    <w:charset w:val="00"/>
    <w:family w:val="swiss"/>
    <w:pitch w:val="default"/>
    <w:sig w:usb0="00000000" w:usb1="00000000" w:usb2="00000000" w:usb3="00000000" w:csb0="00000001" w:csb1="00000000"/>
  </w:font>
  <w:font w:name="AMGDT">
    <w:panose1 w:val="02000400000000000000"/>
    <w:charset w:val="00"/>
    <w:family w:val="auto"/>
    <w:pitch w:val="default"/>
    <w:sig w:usb0="80000003" w:usb1="10000000" w:usb2="00000000" w:usb3="00000000" w:csb0="00000001"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rFonts w:ascii="Helvetica Neue Light" w:hAnsi="Helvetica Neue Light" w:eastAsia="Helvetica Neue Light" w:cs="Helvetica Neue Light"/>
        <w:color w:val="000000"/>
        <w:sz w:val="18"/>
        <w:szCs w:val="18"/>
      </w:rPr>
    </w:pPr>
    <w:r>
      <w:rPr>
        <w:rFonts w:ascii="Helvetica Neue Light" w:hAnsi="Helvetica Neue Light" w:eastAsia="Helvetica Neue Light" w:cs="Helvetica Neue Light"/>
        <w:color w:val="000000"/>
        <w:sz w:val="18"/>
        <w:szCs w:val="18"/>
      </w:rPr>
      <w:t xml:space="preserve">Página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PAGE</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2</w:t>
    </w:r>
    <w:r>
      <w:rPr>
        <w:rFonts w:ascii="Helvetica Neue Light" w:hAnsi="Helvetica Neue Light" w:eastAsia="Helvetica Neue Light" w:cs="Helvetica Neue Light"/>
        <w:color w:val="000000"/>
        <w:sz w:val="18"/>
        <w:szCs w:val="18"/>
      </w:rPr>
      <w:fldChar w:fldCharType="end"/>
    </w:r>
    <w:r>
      <w:rPr>
        <w:rFonts w:ascii="Helvetica Neue Light" w:hAnsi="Helvetica Neue Light" w:eastAsia="Helvetica Neue Light" w:cs="Helvetica Neue Light"/>
        <w:color w:val="000000"/>
        <w:sz w:val="18"/>
        <w:szCs w:val="18"/>
      </w:rPr>
      <w:t xml:space="preserve"> de </w:t>
    </w:r>
    <w:r>
      <w:rPr>
        <w:rFonts w:ascii="Helvetica Neue Light" w:hAnsi="Helvetica Neue Light" w:eastAsia="Helvetica Neue Light" w:cs="Helvetica Neue Light"/>
        <w:color w:val="000000"/>
        <w:sz w:val="18"/>
        <w:szCs w:val="18"/>
      </w:rPr>
      <w:fldChar w:fldCharType="begin"/>
    </w:r>
    <w:r>
      <w:rPr>
        <w:rFonts w:ascii="Helvetica Neue Light" w:hAnsi="Helvetica Neue Light" w:eastAsia="Helvetica Neue Light" w:cs="Helvetica Neue Light"/>
        <w:color w:val="000000"/>
        <w:sz w:val="18"/>
        <w:szCs w:val="18"/>
      </w:rPr>
      <w:instrText xml:space="preserve">NUMPAGES</w:instrText>
    </w:r>
    <w:r>
      <w:rPr>
        <w:rFonts w:ascii="Helvetica Neue Light" w:hAnsi="Helvetica Neue Light" w:eastAsia="Helvetica Neue Light" w:cs="Helvetica Neue Light"/>
        <w:color w:val="000000"/>
        <w:sz w:val="18"/>
        <w:szCs w:val="18"/>
      </w:rPr>
      <w:fldChar w:fldCharType="separate"/>
    </w:r>
    <w:r>
      <w:rPr>
        <w:rFonts w:ascii="Helvetica Neue Light" w:hAnsi="Helvetica Neue Light" w:eastAsia="Helvetica Neue Light" w:cs="Helvetica Neue Light"/>
        <w:color w:val="000000"/>
        <w:sz w:val="18"/>
        <w:szCs w:val="18"/>
      </w:rPr>
      <w:t>18</w:t>
    </w:r>
    <w:r>
      <w:rPr>
        <w:rFonts w:ascii="Helvetica Neue Light" w:hAnsi="Helvetica Neue Light" w:eastAsia="Helvetica Neue Light" w:cs="Helvetica Neue Light"/>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end"/>
    </w:r>
  </w:p>
  <w:p>
    <w:pP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276" w:lineRule="auto"/>
      <w:rPr>
        <w:rFonts w:ascii="Arial" w:hAnsi="Arial" w:eastAsia="Arial" w:cs="Arial"/>
        <w:szCs w:val="20"/>
      </w:rPr>
    </w:pPr>
  </w:p>
  <w:p>
    <w:pPr>
      <w:widowControl w:val="0"/>
      <w:spacing w:line="276" w:lineRule="auto"/>
      <w:rPr>
        <w:rFonts w:ascii="Arial" w:hAnsi="Arial" w:eastAsia="Arial" w:cs="Arial"/>
        <w:szCs w:val="20"/>
      </w:rPr>
    </w:pPr>
    <w:r>
      <w:rPr>
        <w:rFonts w:ascii="Arial" w:hAnsi="Arial" w:eastAsia="Arial" w:cs="Arial"/>
        <w:szCs w:val="20"/>
        <w:lang w:eastAsia="es-CL"/>
      </w:rP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66700"/>
              <wp:effectExtent l="0" t="0" r="0" b="0"/>
              <wp:wrapNone/>
              <wp:docPr id="3" name="MSIPCM5a4b44dfaefece02dfd56d69" descr="{&quot;HashCode&quot;:1600875240,&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wps:spPr>
                    <wps:txbx>
                      <w:txbxContent>
                        <w:p>
                          <w:pPr>
                            <w:jc w:val="center"/>
                            <w:rPr>
                              <w:rFonts w:ascii="Arial" w:hAnsi="Arial" w:cs="Arial"/>
                              <w:color w:val="000000"/>
                              <w:sz w:val="16"/>
                            </w:rPr>
                          </w:pPr>
                          <w:r>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5a4b44dfaefece02dfd56d69" o:spid="_x0000_s1026" o:spt="202" alt="{&quot;HashCode&quot;:1600875240,&quot;Height&quot;:792.0,&quot;Width&quot;:612.0,&quot;Placement&quot;:&quot;Header&quot;,&quot;Index&quot;:&quot;Primary&quot;,&quot;Section&quot;:1,&quot;Top&quot;:0.0,&quot;Left&quot;:0.0}" type="#_x0000_t202" style="position:absolute;left:0pt;margin-left:0pt;margin-top:15pt;height:21pt;width:612pt;mso-position-horizontal-relative:page;mso-position-vertical-relative:page;z-index:251660288;mso-width-relative:page;mso-height-relative:page;" filled="f" stroked="f" coordsize="21600,21600" o:allowincell="f" o:gfxdata="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valq21AAAAAcBAAAPAAAAAAAAAAEAIAAAACIAAABkcnMvZG93bnJldi54bWxQ&#10;SwECFAAUAAAACACHTuJAAYQe/6YCAABaBQAADgAAAAAAAAABACAAAAAjAQAAZHJzL2Uyb0RvYy54&#10;bWxQSwUGAAAAAAYABgBZAQAAOwYAAAAA&#10;">
              <v:fill on="f" focussize="0,0"/>
              <v:stroke on="f" weight="0.5pt"/>
              <v:imagedata o:title=""/>
              <o:lock v:ext="edit" aspectratio="f"/>
              <v:textbox inset="2.54mm,0mm,2.54mm,0mm">
                <w:txbxContent>
                  <w:p>
                    <w:pPr>
                      <w:jc w:val="center"/>
                      <w:rPr>
                        <w:rFonts w:ascii="Arial" w:hAnsi="Arial" w:cs="Arial"/>
                        <w:color w:val="000000"/>
                        <w:sz w:val="16"/>
                      </w:rPr>
                    </w:pPr>
                    <w:r>
                      <w:rPr>
                        <w:rFonts w:ascii="Arial" w:hAnsi="Arial" w:cs="Arial"/>
                        <w:color w:val="000000"/>
                        <w:sz w:val="16"/>
                      </w:rPr>
                      <w:t>INTERNAL</w:t>
                    </w:r>
                  </w:p>
                </w:txbxContent>
              </v:textbox>
            </v:shape>
          </w:pict>
        </mc:Fallback>
      </mc:AlternateContent>
    </w:r>
  </w:p>
  <w:tbl>
    <w:tblPr>
      <w:tblStyle w:val="35"/>
      <w:tblW w:w="9350" w:type="dxa"/>
      <w:jc w:val="center"/>
      <w:tblLayout w:type="fixed"/>
      <w:tblCellMar>
        <w:top w:w="66" w:type="dxa"/>
        <w:left w:w="71" w:type="dxa"/>
        <w:bottom w:w="22" w:type="dxa"/>
        <w:right w:w="47" w:type="dxa"/>
      </w:tblCellMar>
    </w:tblPr>
    <w:tblGrid>
      <w:gridCol w:w="1326"/>
      <w:gridCol w:w="1869"/>
      <w:gridCol w:w="1064"/>
      <w:gridCol w:w="2014"/>
      <w:gridCol w:w="1436"/>
      <w:gridCol w:w="1641"/>
    </w:tblGrid>
    <w:tr>
      <w:tblPrEx>
        <w:tblCellMar>
          <w:top w:w="66" w:type="dxa"/>
          <w:left w:w="71" w:type="dxa"/>
          <w:bottom w:w="22" w:type="dxa"/>
          <w:right w:w="47" w:type="dxa"/>
        </w:tblCellMar>
      </w:tblPrEx>
      <w:trPr>
        <w:trHeight w:val="20" w:hRule="atLeast"/>
        <w:jc w:val="center"/>
      </w:trPr>
      <w:tc>
        <w:tcPr>
          <w:tcW w:w="1326" w:type="dxa"/>
          <w:vMerge w:val="restart"/>
          <w:tcBorders>
            <w:top w:val="single" w:color="000000" w:sz="4" w:space="0"/>
            <w:left w:val="single" w:color="000000" w:sz="4" w:space="0"/>
            <w:bottom w:val="single" w:color="000000" w:sz="4" w:space="0"/>
            <w:right w:val="single" w:color="000000" w:sz="4" w:space="0"/>
          </w:tcBorders>
          <w:vAlign w:val="center"/>
        </w:tcPr>
        <w:p>
          <w:pPr>
            <w:spacing w:line="259" w:lineRule="auto"/>
            <w:ind w:right="66"/>
            <w:jc w:val="center"/>
            <w:rPr>
              <w:rFonts w:ascii="Helvetica Neue Light" w:hAnsi="Helvetica Neue Light" w:eastAsia="Helvetica Neue Light" w:cs="Helvetica Neue Light"/>
              <w:sz w:val="18"/>
              <w:szCs w:val="18"/>
            </w:rPr>
          </w:pPr>
          <w:r>
            <w:rPr>
              <w:rFonts w:ascii="Helvetica Neue Light" w:hAnsi="Helvetica Neue Light" w:eastAsia="Helvetica Neue Light" w:cs="Helvetica Neue Light"/>
              <w:sz w:val="18"/>
              <w:szCs w:val="18"/>
              <w:lang w:eastAsia="es-CL"/>
            </w:rPr>
            <w:drawing>
              <wp:inline distT="0" distB="0" distL="0" distR="0">
                <wp:extent cx="725170" cy="389890"/>
                <wp:effectExtent l="0" t="0" r="0" b="0"/>
                <wp:docPr id="142" name="image1.png"/>
                <wp:cNvGraphicFramePr/>
                <a:graphic xmlns:a="http://schemas.openxmlformats.org/drawingml/2006/main">
                  <a:graphicData uri="http://schemas.openxmlformats.org/drawingml/2006/picture">
                    <pic:pic xmlns:pic="http://schemas.openxmlformats.org/drawingml/2006/picture">
                      <pic:nvPicPr>
                        <pic:cNvPr id="142" name="image1.png"/>
                        <pic:cNvPicPr preferRelativeResize="0"/>
                      </pic:nvPicPr>
                      <pic:blipFill>
                        <a:blip r:embed="rId1"/>
                        <a:srcRect/>
                        <a:stretch>
                          <a:fillRect/>
                        </a:stretch>
                      </pic:blipFill>
                      <pic:spPr>
                        <a:xfrm>
                          <a:off x="0" y="0"/>
                          <a:ext cx="725170" cy="389890"/>
                        </a:xfrm>
                        <a:prstGeom prst="rect">
                          <a:avLst/>
                        </a:prstGeom>
                      </pic:spPr>
                    </pic:pic>
                  </a:graphicData>
                </a:graphic>
              </wp:inline>
            </w:drawing>
          </w:r>
        </w:p>
      </w:tc>
      <w:tc>
        <w:tcPr>
          <w:tcW w:w="2933"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Enel Distribución Chile</w:t>
          </w:r>
        </w:p>
      </w:tc>
      <w:tc>
        <w:tcPr>
          <w:tcW w:w="3450" w:type="dxa"/>
          <w:gridSpan w:val="2"/>
          <w:tcBorders>
            <w:top w:val="single" w:color="000000" w:sz="4" w:space="0"/>
            <w:left w:val="single" w:color="000000" w:sz="4" w:space="0"/>
            <w:bottom w:val="single" w:color="000000" w:sz="4" w:space="0"/>
            <w:right w:val="single" w:color="000000" w:sz="4" w:space="0"/>
          </w:tcBorders>
          <w:vAlign w:val="center"/>
        </w:tcPr>
        <w:p>
          <w:pPr>
            <w:pStyle w:val="40"/>
          </w:pPr>
          <w:r>
            <w:rPr>
              <w:sz w:val="23"/>
              <w:szCs w:val="23"/>
            </w:rPr>
            <w:t xml:space="preserve">Infraestructura Avanzada de Medición </w:t>
          </w:r>
        </w:p>
      </w:tc>
      <w:tc>
        <w:tcPr>
          <w:tcW w:w="1641" w:type="dxa"/>
          <w:tcBorders>
            <w:top w:val="single" w:color="000000" w:sz="4" w:space="0"/>
            <w:left w:val="single" w:color="000000" w:sz="4" w:space="0"/>
            <w:bottom w:val="single" w:color="000000" w:sz="4" w:space="0"/>
            <w:right w:val="single" w:color="000000" w:sz="4" w:space="0"/>
          </w:tcBorders>
          <w:vAlign w:val="center"/>
        </w:tcPr>
        <w:p>
          <w:pPr>
            <w:pStyle w:val="40"/>
          </w:pPr>
          <w:r>
            <w:t>ID documento:</w:t>
          </w:r>
        </w:p>
        <w:p>
          <w:pPr>
            <w:pStyle w:val="40"/>
            <w:rPr>
              <w:rFonts w:hint="default"/>
              <w:lang w:val="es-CL"/>
            </w:rPr>
          </w:pPr>
          <w:r>
            <w:rPr>
              <w:rFonts w:hint="default"/>
              <w:lang w:val="es-CL"/>
            </w:rPr>
            <w:t>ID-006</w:t>
          </w:r>
        </w:p>
      </w:tc>
    </w:tr>
    <w:tr>
      <w:tblPrEx>
        <w:tblCellMar>
          <w:top w:w="66" w:type="dxa"/>
          <w:left w:w="71" w:type="dxa"/>
          <w:bottom w:w="22" w:type="dxa"/>
          <w:right w:w="47" w:type="dxa"/>
        </w:tblCellMar>
      </w:tblPrEx>
      <w:trPr>
        <w:trHeight w:val="20" w:hRule="atLeast"/>
        <w:jc w:val="center"/>
      </w:trPr>
      <w:tc>
        <w:tcPr>
          <w:tcW w:w="1326" w:type="dxa"/>
          <w:vMerge w:val="continue"/>
          <w:tcBorders>
            <w:top w:val="single" w:color="000000" w:sz="4" w:space="0"/>
            <w:left w:val="single" w:color="000000" w:sz="4" w:space="0"/>
            <w:bottom w:val="single" w:color="000000" w:sz="4" w:space="0"/>
            <w:right w:val="single" w:color="000000" w:sz="4" w:space="0"/>
          </w:tcBorders>
          <w:vAlign w:val="center"/>
        </w:tcPr>
        <w:p>
          <w:pPr>
            <w:widowControl w:val="0"/>
            <w:spacing w:line="276" w:lineRule="auto"/>
            <w:rPr>
              <w:rFonts w:ascii="Helvetica Neue Light" w:hAnsi="Helvetica Neue Light" w:eastAsia="Helvetica Neue Light" w:cs="Helvetica Neue Light"/>
              <w:sz w:val="18"/>
              <w:szCs w:val="18"/>
            </w:rPr>
          </w:pPr>
        </w:p>
      </w:tc>
      <w:tc>
        <w:tcPr>
          <w:tcW w:w="8024" w:type="dxa"/>
          <w:gridSpan w:val="5"/>
          <w:tcBorders>
            <w:top w:val="single" w:color="000000" w:sz="4" w:space="0"/>
            <w:left w:val="single" w:color="000000" w:sz="4" w:space="0"/>
            <w:bottom w:val="single" w:color="000000" w:sz="4" w:space="0"/>
            <w:right w:val="single" w:color="000000" w:sz="4" w:space="0"/>
          </w:tcBorders>
          <w:vAlign w:val="center"/>
        </w:tcPr>
        <w:p>
          <w:pPr>
            <w:pStyle w:val="40"/>
          </w:pPr>
          <w:r>
            <w:t>Título: Programación de equipos de medida para visualización de valores almacenados</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Especialista a cargo:</w:t>
          </w:r>
        </w:p>
      </w:tc>
      <w:tc>
        <w:tcPr>
          <w:tcW w:w="3078"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Autor:</w:t>
          </w:r>
        </w:p>
      </w:tc>
      <w:tc>
        <w:tcPr>
          <w:tcW w:w="3077"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Revisado por:</w:t>
          </w:r>
        </w:p>
      </w:tc>
    </w:tr>
    <w:tr>
      <w:tblPrEx>
        <w:tblCellMar>
          <w:top w:w="66" w:type="dxa"/>
          <w:left w:w="71" w:type="dxa"/>
          <w:bottom w:w="22" w:type="dxa"/>
          <w:right w:w="47" w:type="dxa"/>
        </w:tblCellMar>
      </w:tblPrEx>
      <w:trPr>
        <w:trHeight w:val="20" w:hRule="atLeast"/>
        <w:jc w:val="center"/>
      </w:trPr>
      <w:tc>
        <w:tcPr>
          <w:tcW w:w="3195" w:type="dxa"/>
          <w:gridSpan w:val="2"/>
          <w:tcBorders>
            <w:top w:val="single" w:color="000000" w:sz="4" w:space="0"/>
            <w:left w:val="single" w:color="000000" w:sz="4" w:space="0"/>
            <w:bottom w:val="single" w:color="000000" w:sz="4" w:space="0"/>
            <w:right w:val="single" w:color="000000" w:sz="4" w:space="0"/>
          </w:tcBorders>
          <w:vAlign w:val="center"/>
        </w:tcPr>
        <w:p>
          <w:pPr>
            <w:pStyle w:val="40"/>
          </w:pPr>
          <w:r>
            <w:t>Yiris Majluf Alvarado</w:t>
          </w:r>
        </w:p>
      </w:tc>
      <w:tc>
        <w:tcPr>
          <w:tcW w:w="3078" w:type="dxa"/>
          <w:gridSpan w:val="2"/>
          <w:tcBorders>
            <w:top w:val="single" w:color="000000" w:sz="4" w:space="0"/>
            <w:left w:val="single" w:color="000000" w:sz="4" w:space="0"/>
            <w:bottom w:val="single" w:color="000000" w:sz="4" w:space="0"/>
            <w:right w:val="single" w:color="000000" w:sz="4" w:space="0"/>
          </w:tcBorders>
        </w:tcPr>
        <w:p>
          <w:pPr>
            <w:pStyle w:val="40"/>
          </w:pPr>
          <w:r>
            <w:t>Yiris Majluf Alvarado</w:t>
          </w:r>
        </w:p>
      </w:tc>
      <w:tc>
        <w:tcPr>
          <w:tcW w:w="3077" w:type="dxa"/>
          <w:gridSpan w:val="2"/>
          <w:tcBorders>
            <w:top w:val="single" w:color="000000" w:sz="4" w:space="0"/>
            <w:left w:val="single" w:color="000000" w:sz="4" w:space="0"/>
            <w:bottom w:val="single" w:color="000000" w:sz="4" w:space="0"/>
            <w:right w:val="single" w:color="000000" w:sz="4" w:space="0"/>
          </w:tcBorders>
        </w:tcPr>
        <w:p>
          <w:pPr>
            <w:pStyle w:val="40"/>
          </w:pPr>
        </w:p>
      </w:tc>
    </w:tr>
  </w:tbl>
  <w:p>
    <w:pP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8D2947"/>
    <w:multiLevelType w:val="multilevel"/>
    <w:tmpl w:val="1F8D294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90D"/>
    <w:rsid w:val="0002468E"/>
    <w:rsid w:val="000546D0"/>
    <w:rsid w:val="000671AA"/>
    <w:rsid w:val="00143B74"/>
    <w:rsid w:val="00177256"/>
    <w:rsid w:val="001A7321"/>
    <w:rsid w:val="001C229C"/>
    <w:rsid w:val="001D5D84"/>
    <w:rsid w:val="00206237"/>
    <w:rsid w:val="002413C4"/>
    <w:rsid w:val="002423CE"/>
    <w:rsid w:val="00255CC4"/>
    <w:rsid w:val="00262A89"/>
    <w:rsid w:val="00271782"/>
    <w:rsid w:val="002A5D92"/>
    <w:rsid w:val="003532AC"/>
    <w:rsid w:val="00382A03"/>
    <w:rsid w:val="0038771F"/>
    <w:rsid w:val="003A4F5E"/>
    <w:rsid w:val="003B44FA"/>
    <w:rsid w:val="003C6A8A"/>
    <w:rsid w:val="00416AB2"/>
    <w:rsid w:val="00445109"/>
    <w:rsid w:val="004F549B"/>
    <w:rsid w:val="00517408"/>
    <w:rsid w:val="0054690D"/>
    <w:rsid w:val="0056017E"/>
    <w:rsid w:val="0057428A"/>
    <w:rsid w:val="00612C14"/>
    <w:rsid w:val="00662146"/>
    <w:rsid w:val="006A5B7A"/>
    <w:rsid w:val="006E37DF"/>
    <w:rsid w:val="006E4887"/>
    <w:rsid w:val="00703AB5"/>
    <w:rsid w:val="0074431E"/>
    <w:rsid w:val="0075015A"/>
    <w:rsid w:val="00773BBC"/>
    <w:rsid w:val="007B7C94"/>
    <w:rsid w:val="007E5748"/>
    <w:rsid w:val="00831386"/>
    <w:rsid w:val="00835B59"/>
    <w:rsid w:val="00835EA4"/>
    <w:rsid w:val="00836C33"/>
    <w:rsid w:val="00867DC5"/>
    <w:rsid w:val="00893165"/>
    <w:rsid w:val="008A7FE3"/>
    <w:rsid w:val="009373EC"/>
    <w:rsid w:val="0099262D"/>
    <w:rsid w:val="009A38FE"/>
    <w:rsid w:val="009E05F3"/>
    <w:rsid w:val="00A21E6B"/>
    <w:rsid w:val="00A64444"/>
    <w:rsid w:val="00AB70EB"/>
    <w:rsid w:val="00AF4E90"/>
    <w:rsid w:val="00B11A03"/>
    <w:rsid w:val="00B2470F"/>
    <w:rsid w:val="00B35193"/>
    <w:rsid w:val="00B5504A"/>
    <w:rsid w:val="00BE53AF"/>
    <w:rsid w:val="00C02BBF"/>
    <w:rsid w:val="00C21EF0"/>
    <w:rsid w:val="00C30F4A"/>
    <w:rsid w:val="00C50FDB"/>
    <w:rsid w:val="00C65A2D"/>
    <w:rsid w:val="00C8152D"/>
    <w:rsid w:val="00C91415"/>
    <w:rsid w:val="00CA6024"/>
    <w:rsid w:val="00CD527A"/>
    <w:rsid w:val="00CE6BCB"/>
    <w:rsid w:val="00CE7205"/>
    <w:rsid w:val="00CF4F8D"/>
    <w:rsid w:val="00D23FC0"/>
    <w:rsid w:val="00D36C7D"/>
    <w:rsid w:val="00D50AEA"/>
    <w:rsid w:val="00DA2918"/>
    <w:rsid w:val="00DB3398"/>
    <w:rsid w:val="00E14C0B"/>
    <w:rsid w:val="00E20EBA"/>
    <w:rsid w:val="00E275F1"/>
    <w:rsid w:val="00E505E7"/>
    <w:rsid w:val="00EA7ADD"/>
    <w:rsid w:val="00F000BE"/>
    <w:rsid w:val="00F14D8A"/>
    <w:rsid w:val="00F51C99"/>
    <w:rsid w:val="00F9176B"/>
    <w:rsid w:val="00FB2ADC"/>
    <w:rsid w:val="00FD6115"/>
    <w:rsid w:val="083141D5"/>
    <w:rsid w:val="0F581719"/>
    <w:rsid w:val="1BE2285A"/>
    <w:rsid w:val="21AE4622"/>
    <w:rsid w:val="25607AB8"/>
    <w:rsid w:val="2AE64354"/>
    <w:rsid w:val="2B02651D"/>
    <w:rsid w:val="3A20214D"/>
    <w:rsid w:val="4DC061FD"/>
    <w:rsid w:val="67652B3B"/>
    <w:rsid w:val="6A5B7C61"/>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jc w:val="both"/>
    </w:pPr>
    <w:rPr>
      <w:rFonts w:ascii="Calibri" w:hAnsi="Calibri" w:eastAsia="Calibri" w:cs="Calibri"/>
      <w:szCs w:val="24"/>
      <w:lang w:val="es-CL"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page number"/>
    <w:basedOn w:val="8"/>
    <w:semiHidden/>
    <w:unhideWhenUsed/>
    <w:qFormat/>
    <w:uiPriority w:val="99"/>
  </w:style>
  <w:style w:type="paragraph" w:styleId="12">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3">
    <w:name w:val="annotation subject"/>
    <w:basedOn w:val="14"/>
    <w:next w:val="14"/>
    <w:link w:val="38"/>
    <w:semiHidden/>
    <w:unhideWhenUsed/>
    <w:qFormat/>
    <w:uiPriority w:val="99"/>
    <w:rPr>
      <w:b/>
      <w:bCs/>
    </w:rPr>
  </w:style>
  <w:style w:type="paragraph" w:styleId="14">
    <w:name w:val="annotation text"/>
    <w:basedOn w:val="1"/>
    <w:link w:val="36"/>
    <w:semiHidden/>
    <w:unhideWhenUsed/>
    <w:qFormat/>
    <w:uiPriority w:val="99"/>
    <w:rPr>
      <w:szCs w:val="20"/>
    </w:rPr>
  </w:style>
  <w:style w:type="paragraph" w:styleId="15">
    <w:name w:val="Balloon Text"/>
    <w:basedOn w:val="1"/>
    <w:link w:val="37"/>
    <w:semiHidden/>
    <w:unhideWhenUsed/>
    <w:uiPriority w:val="99"/>
    <w:rPr>
      <w:rFonts w:ascii="Times New Roman" w:hAnsi="Times New Roman" w:cs="Times New Roman"/>
      <w:sz w:val="18"/>
      <w:szCs w:val="18"/>
    </w:rPr>
  </w:style>
  <w:style w:type="paragraph" w:styleId="16">
    <w:name w:val="header"/>
    <w:basedOn w:val="1"/>
    <w:link w:val="21"/>
    <w:unhideWhenUsed/>
    <w:qFormat/>
    <w:uiPriority w:val="99"/>
    <w:pPr>
      <w:tabs>
        <w:tab w:val="center" w:pos="4680"/>
        <w:tab w:val="right" w:pos="9360"/>
      </w:tabs>
    </w:pPr>
  </w:style>
  <w:style w:type="paragraph" w:styleId="17">
    <w:name w:val="footer"/>
    <w:basedOn w:val="1"/>
    <w:link w:val="22"/>
    <w:unhideWhenUsed/>
    <w:qFormat/>
    <w:uiPriority w:val="99"/>
    <w:pPr>
      <w:tabs>
        <w:tab w:val="center" w:pos="4680"/>
        <w:tab w:val="right" w:pos="936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Title"/>
    <w:basedOn w:val="1"/>
    <w:next w:val="1"/>
    <w:link w:val="25"/>
    <w:qFormat/>
    <w:uiPriority w:val="10"/>
    <w:pPr>
      <w:autoSpaceDE w:val="0"/>
      <w:autoSpaceDN w:val="0"/>
      <w:adjustRightInd w:val="0"/>
      <w:spacing w:before="8" w:after="1"/>
    </w:pPr>
    <w:rPr>
      <w:rFonts w:ascii="Times New Roman" w:hAnsi="Times New Roman" w:cs="Times New Roman"/>
    </w:rPr>
  </w:style>
  <w:style w:type="table" w:styleId="2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Encabezado Car"/>
    <w:basedOn w:val="8"/>
    <w:link w:val="16"/>
    <w:qFormat/>
    <w:uiPriority w:val="99"/>
  </w:style>
  <w:style w:type="character" w:customStyle="1" w:styleId="22">
    <w:name w:val="Pie de página Car"/>
    <w:basedOn w:val="8"/>
    <w:link w:val="17"/>
    <w:uiPriority w:val="99"/>
  </w:style>
  <w:style w:type="table" w:customStyle="1" w:styleId="23">
    <w:name w:val="TableGrid"/>
    <w:qFormat/>
    <w:uiPriority w:val="0"/>
    <w:rPr>
      <w:rFonts w:eastAsiaTheme="minorEastAsia"/>
    </w:rPr>
    <w:tblPr>
      <w:tblCellMar>
        <w:top w:w="0" w:type="dxa"/>
        <w:left w:w="0" w:type="dxa"/>
        <w:bottom w:w="0" w:type="dxa"/>
        <w:right w:w="0" w:type="dxa"/>
      </w:tblCellMar>
    </w:tblPr>
  </w:style>
  <w:style w:type="paragraph" w:styleId="24">
    <w:name w:val="List Paragraph"/>
    <w:basedOn w:val="1"/>
    <w:qFormat/>
    <w:uiPriority w:val="34"/>
    <w:pPr>
      <w:ind w:left="720"/>
      <w:contextualSpacing/>
    </w:pPr>
  </w:style>
  <w:style w:type="character" w:customStyle="1" w:styleId="25">
    <w:name w:val="Título Car"/>
    <w:basedOn w:val="8"/>
    <w:link w:val="19"/>
    <w:uiPriority w:val="1"/>
    <w:rPr>
      <w:rFonts w:ascii="Times New Roman" w:hAnsi="Times New Roman" w:cs="Times New Roman"/>
      <w:lang w:val="es-CL"/>
    </w:rPr>
  </w:style>
  <w:style w:type="paragraph" w:customStyle="1" w:styleId="26">
    <w:name w:val="Table Paragraph"/>
    <w:basedOn w:val="1"/>
    <w:qFormat/>
    <w:uiPriority w:val="1"/>
    <w:rPr>
      <w:rFonts w:ascii="Helvetica Neue Light" w:hAnsi="Helvetica Neue Light" w:eastAsia="Helvetica Neue Light" w:cs="Helvetica Neue Light"/>
      <w:b/>
      <w:szCs w:val="20"/>
    </w:rPr>
  </w:style>
  <w:style w:type="paragraph" w:customStyle="1" w:styleId="27">
    <w:name w:val="Default"/>
    <w:uiPriority w:val="0"/>
    <w:pPr>
      <w:autoSpaceDE w:val="0"/>
      <w:autoSpaceDN w:val="0"/>
      <w:adjustRightInd w:val="0"/>
    </w:pPr>
    <w:rPr>
      <w:rFonts w:ascii="Arial" w:hAnsi="Arial" w:eastAsia="Calibri" w:cs="Arial"/>
      <w:color w:val="000000"/>
      <w:sz w:val="24"/>
      <w:szCs w:val="24"/>
      <w:lang w:val="es-CL" w:eastAsia="en-US" w:bidi="ar-SA"/>
    </w:rPr>
  </w:style>
  <w:style w:type="table" w:customStyle="1" w:styleId="28">
    <w:name w:val="_Style 22"/>
    <w:basedOn w:val="9"/>
    <w:uiPriority w:val="0"/>
    <w:tblPr>
      <w:tblCellMar>
        <w:left w:w="115" w:type="dxa"/>
        <w:right w:w="115" w:type="dxa"/>
      </w:tblCellMar>
    </w:tblPr>
  </w:style>
  <w:style w:type="table" w:customStyle="1" w:styleId="29">
    <w:name w:val="_Style 23"/>
    <w:basedOn w:val="9"/>
    <w:uiPriority w:val="0"/>
    <w:tblPr>
      <w:tblCellMar>
        <w:top w:w="49" w:type="dxa"/>
        <w:left w:w="107" w:type="dxa"/>
        <w:right w:w="115" w:type="dxa"/>
      </w:tblCellMar>
    </w:tblPr>
  </w:style>
  <w:style w:type="table" w:customStyle="1" w:styleId="30">
    <w:name w:val="_Style 24"/>
    <w:basedOn w:val="9"/>
    <w:qFormat/>
    <w:uiPriority w:val="0"/>
    <w:tblPr>
      <w:tblCellMar>
        <w:left w:w="70" w:type="dxa"/>
        <w:right w:w="70" w:type="dxa"/>
      </w:tblCellMar>
    </w:tblPr>
  </w:style>
  <w:style w:type="table" w:customStyle="1" w:styleId="31">
    <w:name w:val="_Style 25"/>
    <w:basedOn w:val="9"/>
    <w:uiPriority w:val="0"/>
    <w:tblPr>
      <w:tblCellMar>
        <w:top w:w="46" w:type="dxa"/>
        <w:right w:w="53" w:type="dxa"/>
      </w:tblCellMar>
    </w:tblPr>
  </w:style>
  <w:style w:type="table" w:customStyle="1" w:styleId="32">
    <w:name w:val="_Style 26"/>
    <w:basedOn w:val="9"/>
    <w:uiPriority w:val="0"/>
    <w:tblPr>
      <w:tblCellMar>
        <w:top w:w="46" w:type="dxa"/>
        <w:right w:w="53" w:type="dxa"/>
      </w:tblCellMar>
    </w:tblPr>
  </w:style>
  <w:style w:type="table" w:customStyle="1" w:styleId="33">
    <w:name w:val="_Style 27"/>
    <w:basedOn w:val="9"/>
    <w:qFormat/>
    <w:uiPriority w:val="0"/>
    <w:tblPr>
      <w:tblCellMar>
        <w:left w:w="115" w:type="dxa"/>
        <w:right w:w="115" w:type="dxa"/>
      </w:tblCellMar>
    </w:tblPr>
  </w:style>
  <w:style w:type="table" w:customStyle="1" w:styleId="34">
    <w:name w:val="_Style 28"/>
    <w:basedOn w:val="9"/>
    <w:qFormat/>
    <w:uiPriority w:val="0"/>
  </w:style>
  <w:style w:type="table" w:customStyle="1" w:styleId="35">
    <w:name w:val="_Style 29"/>
    <w:basedOn w:val="9"/>
    <w:uiPriority w:val="0"/>
    <w:tblPr>
      <w:tblCellMar>
        <w:top w:w="66" w:type="dxa"/>
        <w:left w:w="71" w:type="dxa"/>
        <w:bottom w:w="22" w:type="dxa"/>
        <w:right w:w="47" w:type="dxa"/>
      </w:tblCellMar>
    </w:tblPr>
  </w:style>
  <w:style w:type="character" w:customStyle="1" w:styleId="36">
    <w:name w:val="Texto comentario Car"/>
    <w:basedOn w:val="8"/>
    <w:link w:val="14"/>
    <w:semiHidden/>
    <w:uiPriority w:val="99"/>
    <w:rPr>
      <w:sz w:val="20"/>
      <w:szCs w:val="20"/>
    </w:rPr>
  </w:style>
  <w:style w:type="character" w:customStyle="1" w:styleId="37">
    <w:name w:val="Texto de globo Car"/>
    <w:basedOn w:val="8"/>
    <w:link w:val="15"/>
    <w:semiHidden/>
    <w:uiPriority w:val="99"/>
    <w:rPr>
      <w:rFonts w:ascii="Times New Roman" w:hAnsi="Times New Roman" w:cs="Times New Roman"/>
      <w:sz w:val="18"/>
      <w:szCs w:val="18"/>
    </w:rPr>
  </w:style>
  <w:style w:type="character" w:customStyle="1" w:styleId="38">
    <w:name w:val="Asunto del comentario Car"/>
    <w:basedOn w:val="36"/>
    <w:link w:val="13"/>
    <w:semiHidden/>
    <w:uiPriority w:val="99"/>
    <w:rPr>
      <w:b/>
      <w:bCs/>
      <w:sz w:val="20"/>
      <w:szCs w:val="20"/>
    </w:rPr>
  </w:style>
  <w:style w:type="table" w:customStyle="1" w:styleId="39">
    <w:name w:val="Tabla con cuadrícula1"/>
    <w:basedOn w:val="9"/>
    <w:qFormat/>
    <w:uiPriority w:val="39"/>
    <w:rPr>
      <w:rFonts w:asciiTheme="minorHAnsi" w:hAnsiTheme="minorHAnsi" w:eastAsiaTheme="minorHAnsi" w:cstheme="minorBidi"/>
      <w:sz w:val="24"/>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Estilo1"/>
    <w:basedOn w:val="1"/>
    <w:link w:val="41"/>
    <w:qFormat/>
    <w:uiPriority w:val="0"/>
    <w:pPr>
      <w:spacing w:line="259" w:lineRule="auto"/>
      <w:ind w:left="42"/>
      <w:jc w:val="center"/>
    </w:pPr>
    <w:rPr>
      <w:rFonts w:ascii="Helvetica Neue Light" w:hAnsi="Helvetica Neue Light" w:eastAsia="Helvetica Neue Light" w:cs="Helvetica Neue Light"/>
      <w:sz w:val="18"/>
      <w:szCs w:val="18"/>
    </w:rPr>
  </w:style>
  <w:style w:type="character" w:customStyle="1" w:styleId="41">
    <w:name w:val="Estilo1 Car"/>
    <w:basedOn w:val="8"/>
    <w:link w:val="40"/>
    <w:uiPriority w:val="0"/>
    <w:rPr>
      <w:rFonts w:ascii="Helvetica Neue Light" w:hAnsi="Helvetica Neue Light" w:eastAsia="Helvetica Neue Light" w:cs="Helvetica Neue Light"/>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emf"/><Relationship Id="rId21" Type="http://schemas.openxmlformats.org/officeDocument/2006/relationships/oleObject" Target="embeddings/oleObject2.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emf"/><Relationship Id="rId16" Type="http://schemas.openxmlformats.org/officeDocument/2006/relationships/oleObject" Target="embeddings/oleObject1.bin"/><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gm56bGBkCzjYTtsBc7HKiG3k9dnA==">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ENEL</Company>
  <Pages>6</Pages>
  <Words>754</Words>
  <Characters>4152</Characters>
  <Lines>34</Lines>
  <Paragraphs>9</Paragraphs>
  <TotalTime>1</TotalTime>
  <ScaleCrop>false</ScaleCrop>
  <LinksUpToDate>false</LinksUpToDate>
  <CharactersWithSpaces>4897</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2021-03-15T01:44:00Z</dcterms:created>
  <dc:creator>Luciano Ahumada Fierro</dc:creator>
  <cp:lastModifiedBy>CL146041000</cp:lastModifiedBy>
  <cp:lastPrinted>2021-03-15T03:20:00Z</cp:lastPrinted>
  <dcterms:modified xsi:type="dcterms:W3CDTF">2021-10-13T00:22:42Z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2058-11.2.0.10323</vt:lpwstr>
  </property>
  <property fmtid="{D5CDD505-2E9C-101B-9397-08002B2CF9AE}" pid="3" name="MSIP_Label_00183ae1-726f-4969-b787-1995b26b5e2f_Enabled">
    <vt:lpwstr>True</vt:lpwstr>
  </property>
  <property fmtid="{D5CDD505-2E9C-101B-9397-08002B2CF9AE}" pid="4" name="MSIP_Label_00183ae1-726f-4969-b787-1995b26b5e2f_SiteId">
    <vt:lpwstr>d539d4bf-5610-471a-afc2-1c76685cfefa</vt:lpwstr>
  </property>
  <property fmtid="{D5CDD505-2E9C-101B-9397-08002B2CF9AE}" pid="5" name="MSIP_Label_00183ae1-726f-4969-b787-1995b26b5e2f_Owner">
    <vt:lpwstr>patricio.figueroa@enel.com</vt:lpwstr>
  </property>
  <property fmtid="{D5CDD505-2E9C-101B-9397-08002B2CF9AE}" pid="6" name="MSIP_Label_00183ae1-726f-4969-b787-1995b26b5e2f_SetDate">
    <vt:lpwstr>2020-12-20T19:02:03.5452513Z</vt:lpwstr>
  </property>
  <property fmtid="{D5CDD505-2E9C-101B-9397-08002B2CF9AE}" pid="7" name="MSIP_Label_00183ae1-726f-4969-b787-1995b26b5e2f_Name">
    <vt:lpwstr>Internal</vt:lpwstr>
  </property>
  <property fmtid="{D5CDD505-2E9C-101B-9397-08002B2CF9AE}" pid="8" name="MSIP_Label_00183ae1-726f-4969-b787-1995b26b5e2f_Application">
    <vt:lpwstr>Microsoft Azure Information Protection</vt:lpwstr>
  </property>
  <property fmtid="{D5CDD505-2E9C-101B-9397-08002B2CF9AE}" pid="9" name="MSIP_Label_00183ae1-726f-4969-b787-1995b26b5e2f_ActionId">
    <vt:lpwstr>811572bd-6ac9-44c3-a1b4-b2fc712acfd7</vt:lpwstr>
  </property>
  <property fmtid="{D5CDD505-2E9C-101B-9397-08002B2CF9AE}" pid="10" name="MSIP_Label_00183ae1-726f-4969-b787-1995b26b5e2f_Extended_MSFT_Method">
    <vt:lpwstr>Automatic</vt:lpwstr>
  </property>
  <property fmtid="{D5CDD505-2E9C-101B-9397-08002B2CF9AE}" pid="11" name="MSIP_Label_797ad33d-ed35-43c0-b526-22bc83c17deb_Enabled">
    <vt:lpwstr>True</vt:lpwstr>
  </property>
  <property fmtid="{D5CDD505-2E9C-101B-9397-08002B2CF9AE}" pid="12" name="MSIP_Label_797ad33d-ed35-43c0-b526-22bc83c17deb_SiteId">
    <vt:lpwstr>d539d4bf-5610-471a-afc2-1c76685cfefa</vt:lpwstr>
  </property>
  <property fmtid="{D5CDD505-2E9C-101B-9397-08002B2CF9AE}" pid="13" name="MSIP_Label_797ad33d-ed35-43c0-b526-22bc83c17deb_Owner">
    <vt:lpwstr>patricio.figueroa@enel.com</vt:lpwstr>
  </property>
  <property fmtid="{D5CDD505-2E9C-101B-9397-08002B2CF9AE}" pid="14" name="MSIP_Label_797ad33d-ed35-43c0-b526-22bc83c17deb_SetDate">
    <vt:lpwstr>2020-12-20T19:02:03.5452513Z</vt:lpwstr>
  </property>
  <property fmtid="{D5CDD505-2E9C-101B-9397-08002B2CF9AE}" pid="15" name="MSIP_Label_797ad33d-ed35-43c0-b526-22bc83c17deb_Name">
    <vt:lpwstr>Not Encrypted</vt:lpwstr>
  </property>
  <property fmtid="{D5CDD505-2E9C-101B-9397-08002B2CF9AE}" pid="16" name="MSIP_Label_797ad33d-ed35-43c0-b526-22bc83c17deb_Application">
    <vt:lpwstr>Microsoft Azure Information Protection</vt:lpwstr>
  </property>
  <property fmtid="{D5CDD505-2E9C-101B-9397-08002B2CF9AE}" pid="17" name="MSIP_Label_797ad33d-ed35-43c0-b526-22bc83c17deb_ActionId">
    <vt:lpwstr>811572bd-6ac9-44c3-a1b4-b2fc712acfd7</vt:lpwstr>
  </property>
  <property fmtid="{D5CDD505-2E9C-101B-9397-08002B2CF9AE}" pid="18" name="MSIP_Label_797ad33d-ed35-43c0-b526-22bc83c17deb_Parent">
    <vt:lpwstr>00183ae1-726f-4969-b787-1995b26b5e2f</vt:lpwstr>
  </property>
  <property fmtid="{D5CDD505-2E9C-101B-9397-08002B2CF9AE}" pid="19" name="MSIP_Label_797ad33d-ed35-43c0-b526-22bc83c17deb_Extended_MSFT_Method">
    <vt:lpwstr>Automatic</vt:lpwstr>
  </property>
  <property fmtid="{D5CDD505-2E9C-101B-9397-08002B2CF9AE}" pid="20" name="Sensitivity">
    <vt:lpwstr>Internal Not Encrypted</vt:lpwstr>
  </property>
  <property fmtid="{D5CDD505-2E9C-101B-9397-08002B2CF9AE}" pid="21" name="ICV">
    <vt:lpwstr>06F83FF00C5D45ECB7620E87897B62D6</vt:lpwstr>
  </property>
</Properties>
</file>