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pPr>
      <w:r>
        <w:pict>
          <v:shape id="_x0000_s1026" o:spid="_x0000_s1026" o:spt="136" type="#_x0000_t136" style="position:absolute;left:0pt;margin-left:0pt;margin-top:0pt;height:50pt;width:50pt;visibility:hidden;z-index:251659264;mso-width-relative:page;mso-height-relative:page;" coordsize="21600,21600">
            <v:path/>
            <v:fill focussize="0,0"/>
            <v:stroke/>
            <v:imagedata o:title=""/>
            <o:lock v:ext="edit" selection="t"/>
            <v:textpath on="f" fitpath="t" trim="t" xscale="f" string="" style="font-size:36pt;v-text-align:center;"/>
          </v:shape>
        </w:pict>
      </w: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Arial" w:hAnsi="Arial" w:eastAsia="Arial" w:cs="Arial"/>
          <w:color w:val="000000"/>
        </w:rPr>
      </w:pPr>
      <w:r>
        <w:rPr>
          <w:rFonts w:ascii="Arial" w:hAnsi="Arial" w:eastAsia="Arial" w:cs="Arial"/>
          <w:color w:val="000000"/>
        </w:rPr>
        <w:t xml:space="preserve"> </w:t>
      </w:r>
    </w:p>
    <w:p>
      <w:pPr>
        <w:spacing w:line="240" w:lineRule="auto"/>
        <w:jc w:val="center"/>
        <w:rPr>
          <w:rFonts w:ascii="Helvetica Neue Light" w:hAnsi="Helvetica Neue Light" w:eastAsia="Helvetica Neue Light" w:cs="Helvetica Neue Light"/>
          <w:sz w:val="32"/>
          <w:szCs w:val="32"/>
          <w:lang w:eastAsia="es-CL"/>
        </w:rPr>
      </w:pPr>
      <w:r>
        <w:rPr>
          <w:rFonts w:ascii="Arial" w:hAnsi="Arial" w:eastAsia="Arial" w:cs="Arial"/>
          <w:color w:val="000000"/>
        </w:rPr>
        <w:t xml:space="preserve"> </w:t>
      </w:r>
    </w:p>
    <w:p>
      <w:pPr>
        <w:spacing w:line="240" w:lineRule="auto"/>
        <w:jc w:val="center"/>
        <w:rPr>
          <w:rFonts w:ascii="Helvetica Neue Light" w:hAnsi="Helvetica Neue Light" w:eastAsia="Helvetica Neue Light" w:cs="Helvetica Neue Light"/>
          <w:sz w:val="32"/>
          <w:szCs w:val="32"/>
          <w:lang w:eastAsia="es-CL"/>
        </w:rPr>
      </w:pPr>
      <w:r>
        <w:rPr>
          <w:rFonts w:ascii="Helvetica Neue Light" w:hAnsi="Helvetica Neue Light" w:eastAsia="Helvetica Neue Light" w:cs="Helvetica Neue Light"/>
          <w:sz w:val="32"/>
          <w:szCs w:val="32"/>
          <w:lang w:eastAsia="es-CL"/>
        </w:rPr>
        <w:t>Configuración horaria</w:t>
      </w:r>
    </w:p>
    <w:p>
      <w:pPr>
        <w:spacing w:line="240" w:lineRule="auto"/>
        <w:jc w:val="center"/>
        <w:rPr>
          <w:rFonts w:ascii="Helvetica Neue Light" w:hAnsi="Helvetica Neue Light" w:eastAsia="Helvetica Neue Light" w:cs="Helvetica Neue Light"/>
          <w:b/>
          <w:bCs/>
          <w:sz w:val="32"/>
          <w:szCs w:val="32"/>
          <w:lang w:eastAsia="es-CL"/>
        </w:rPr>
      </w:pPr>
      <w:r>
        <w:rPr>
          <w:rFonts w:ascii="Helvetica Neue Light" w:hAnsi="Helvetica Neue Light" w:eastAsia="Helvetica Neue Light" w:cs="Helvetica Neue Light"/>
          <w:b/>
          <w:bCs/>
          <w:sz w:val="32"/>
          <w:szCs w:val="32"/>
          <w:lang w:eastAsia="es-CL"/>
        </w:rPr>
        <w:t>Starbeat</w:t>
      </w: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Arial" w:hAnsi="Arial" w:eastAsia="Arial" w:cs="Arial"/>
          <w:color w:val="000000"/>
        </w:rPr>
      </w:pPr>
    </w:p>
    <w:p>
      <w:pPr>
        <w:rPr>
          <w:rFonts w:ascii="Arial" w:hAnsi="Arial" w:eastAsia="Arial" w:cs="Arial"/>
          <w:color w:val="000000"/>
        </w:rPr>
      </w:pPr>
    </w:p>
    <w:p>
      <w:pPr>
        <w:rPr>
          <w:rFonts w:ascii="Arial" w:hAnsi="Arial" w:eastAsia="Arial" w:cs="Arial"/>
          <w:color w:val="000000"/>
        </w:rPr>
      </w:pPr>
    </w:p>
    <w:p>
      <w:pPr>
        <w:rPr>
          <w:rFonts w:ascii="Arial" w:hAnsi="Arial" w:eastAsia="Arial" w:cs="Arial"/>
          <w:color w:val="000000"/>
        </w:rPr>
      </w:pPr>
    </w:p>
    <w:p>
      <w:pPr>
        <w:rPr>
          <w:rFonts w:ascii="Arial" w:hAnsi="Arial" w:eastAsia="Arial" w:cs="Arial"/>
          <w:color w:val="000000"/>
        </w:rPr>
      </w:pPr>
    </w:p>
    <w:p>
      <w:pPr>
        <w:rPr>
          <w:rFonts w:ascii="Arial" w:hAnsi="Arial" w:eastAsia="Arial" w:cs="Arial"/>
          <w:color w:val="000000"/>
        </w:rPr>
      </w:pPr>
    </w:p>
    <w:p>
      <w:pPr>
        <w:rPr>
          <w:rFonts w:ascii="Arial" w:hAnsi="Arial" w:eastAsia="Arial" w:cs="Arial"/>
          <w:color w:val="000000"/>
        </w:rPr>
      </w:pPr>
    </w:p>
    <w:tbl>
      <w:tblPr>
        <w:tblStyle w:val="31"/>
        <w:tblW w:w="93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9" w:type="dxa"/>
          <w:left w:w="107" w:type="dxa"/>
          <w:bottom w:w="0" w:type="dxa"/>
          <w:right w:w="115" w:type="dxa"/>
        </w:tblCellMar>
      </w:tblPr>
      <w:tblGrid>
        <w:gridCol w:w="801"/>
        <w:gridCol w:w="1316"/>
        <w:gridCol w:w="1706"/>
        <w:gridCol w:w="55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9352" w:type="dxa"/>
            <w:gridSpan w:val="4"/>
            <w:shd w:val="clear" w:color="auto" w:fill="D7D7D7"/>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Control de versiones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shd w:val="clear" w:color="auto" w:fill="D7D7D7"/>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Versión </w:t>
            </w:r>
          </w:p>
        </w:tc>
        <w:tc>
          <w:tcPr>
            <w:tcW w:w="131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Fecha </w:t>
            </w:r>
          </w:p>
        </w:tc>
        <w:tc>
          <w:tcPr>
            <w:tcW w:w="170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Autor </w:t>
            </w:r>
          </w:p>
        </w:tc>
        <w:tc>
          <w:tcPr>
            <w:tcW w:w="5529"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Descripción del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tcPr>
          <w:p>
            <w:pPr>
              <w:spacing w:line="259" w:lineRule="auto"/>
              <w:rPr>
                <w:rFonts w:ascii="Helvetica Neue Light" w:hAnsi="Helvetica Neue Light" w:eastAsia="Helvetica Neue Light" w:cs="Helvetica Neue Light"/>
                <w:sz w:val="18"/>
                <w:szCs w:val="18"/>
              </w:rPr>
            </w:pPr>
            <w:r>
              <w:rPr>
                <w:szCs w:val="20"/>
              </w:rPr>
              <w:t xml:space="preserve">A </w:t>
            </w:r>
          </w:p>
        </w:tc>
        <w:tc>
          <w:tcPr>
            <w:tcW w:w="1316" w:type="dxa"/>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05/10/2021</w:t>
            </w:r>
          </w:p>
        </w:tc>
        <w:tc>
          <w:tcPr>
            <w:tcW w:w="1706"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Yiris Majluf</w:t>
            </w:r>
          </w:p>
        </w:tc>
        <w:tc>
          <w:tcPr>
            <w:tcW w:w="5529"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Publicación Inicial</w:t>
            </w:r>
          </w:p>
        </w:tc>
      </w:tr>
    </w:tbl>
    <w:p>
      <w:pPr>
        <w:rPr>
          <w:rFonts w:ascii="Helvetica Neue Light" w:hAnsi="Helvetica Neue Light" w:eastAsia="Helvetica Neue Light" w:cs="Helvetica Neue Light"/>
          <w:b/>
          <w:szCs w:val="20"/>
        </w:rPr>
      </w:pPr>
    </w:p>
    <w:p>
      <w:pPr>
        <w:pStyle w:val="28"/>
      </w:pPr>
      <w:r>
        <w:t>Resumen</w:t>
      </w:r>
    </w:p>
    <w:p>
      <w:r>
        <w:t>El presente documento tiene por objetivo documentar la configuración horaria de Starbeat con miras al cumplimiento al punto 3-3.11 del anexo técnico, el cual solicita que el SMMC cuente con un sistema de sincronización horaria que permita garantizar la configuración horaria de los componentes del SMMC.</w:t>
      </w:r>
    </w:p>
    <w:p>
      <w:pPr>
        <w:rPr>
          <w:rFonts w:hint="default"/>
          <w:lang w:val="es-CL"/>
        </w:rPr>
      </w:pPr>
    </w:p>
    <w:p>
      <w:pPr>
        <w:rPr>
          <w:rFonts w:hint="default"/>
          <w:lang w:val="es-CL"/>
        </w:rPr>
      </w:pPr>
      <w:r>
        <w:rPr>
          <w:rFonts w:hint="default"/>
          <w:lang w:val="es-CL"/>
        </w:rPr>
        <w:t>La arquitectura de sincronización horaria es la siguiente:</w:t>
      </w:r>
    </w:p>
    <w:p>
      <w:pPr>
        <w:rPr>
          <w:rFonts w:hint="default"/>
          <w:lang w:val="es-CL"/>
        </w:rPr>
      </w:pPr>
      <w:r>
        <w:drawing>
          <wp:inline distT="0" distB="0" distL="114300" distR="114300">
            <wp:extent cx="5942330" cy="1575435"/>
            <wp:effectExtent l="0" t="0" r="1270" b="571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12"/>
                    <a:stretch>
                      <a:fillRect/>
                    </a:stretch>
                  </pic:blipFill>
                  <pic:spPr>
                    <a:xfrm>
                      <a:off x="0" y="0"/>
                      <a:ext cx="5942330" cy="1575435"/>
                    </a:xfrm>
                    <a:prstGeom prst="rect">
                      <a:avLst/>
                    </a:prstGeom>
                    <a:noFill/>
                    <a:ln>
                      <a:noFill/>
                    </a:ln>
                  </pic:spPr>
                </pic:pic>
              </a:graphicData>
            </a:graphic>
          </wp:inline>
        </w:drawing>
      </w:r>
    </w:p>
    <w:p/>
    <w:p>
      <w:pPr>
        <w:pStyle w:val="28"/>
      </w:pPr>
      <w:r>
        <w:t>Gestión de zona horaria</w:t>
      </w:r>
    </w:p>
    <w:p>
      <w:r>
        <w:t xml:space="preserve">Starbeat cuenta con un módulo que permite configurar la zona horaria en la que se encuentra instalado el medidor que se desea gestionar, esto, dado que, al ser una solución internacional, los medidores pueden encontrarse en distintos puntos. </w:t>
      </w:r>
    </w:p>
    <w:p>
      <w:r>
        <w:t xml:space="preserve">Con el fin de garantizar la sincronización horaria de cada medidor, Starbeat permite utilizar diferentes zonas horarias, las cuales sincronizan los componentes de acuerdo a la zona horaria definida en esta configuración. </w:t>
      </w:r>
    </w:p>
    <w:p>
      <w:r>
        <w:t>Esta zona horaria puede ser definida en su instalación o el medidor puede ser editado posteriormente mediante la opción zona horaria.</w:t>
      </w:r>
    </w:p>
    <w:p/>
    <w:p>
      <w:pPr>
        <w:keepNext/>
        <w:jc w:val="center"/>
      </w:pPr>
      <w:r>
        <w:drawing>
          <wp:inline distT="0" distB="0" distL="0" distR="0">
            <wp:extent cx="5943600" cy="3285490"/>
            <wp:effectExtent l="0" t="0" r="0"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10;&#10;Descripción generada automáticamente"/>
                    <pic:cNvPicPr>
                      <a:picLocks noChangeAspect="1"/>
                    </pic:cNvPicPr>
                  </pic:nvPicPr>
                  <pic:blipFill>
                    <a:blip r:embed="rId13"/>
                    <a:stretch>
                      <a:fillRect/>
                    </a:stretch>
                  </pic:blipFill>
                  <pic:spPr>
                    <a:xfrm>
                      <a:off x="0" y="0"/>
                      <a:ext cx="5943600" cy="3285490"/>
                    </a:xfrm>
                    <a:prstGeom prst="rect">
                      <a:avLst/>
                    </a:prstGeom>
                  </pic:spPr>
                </pic:pic>
              </a:graphicData>
            </a:graphic>
          </wp:inline>
        </w:drawing>
      </w:r>
    </w:p>
    <w:p>
      <w:pPr>
        <w:pStyle w:val="14"/>
        <w:jc w:val="center"/>
        <w:rPr>
          <w:color w:val="auto"/>
        </w:rPr>
      </w:pPr>
      <w:r>
        <w:rPr>
          <w:color w:val="auto"/>
        </w:rPr>
        <w:t xml:space="preserve">Ilustración </w:t>
      </w:r>
      <w:r>
        <w:rPr>
          <w:color w:val="auto"/>
        </w:rPr>
        <w:fldChar w:fldCharType="begin"/>
      </w:r>
      <w:r>
        <w:rPr>
          <w:color w:val="auto"/>
        </w:rPr>
        <w:instrText xml:space="preserve"> SEQ Ilustración \* ARABIC </w:instrText>
      </w:r>
      <w:r>
        <w:rPr>
          <w:color w:val="auto"/>
        </w:rPr>
        <w:fldChar w:fldCharType="separate"/>
      </w:r>
      <w:r>
        <w:rPr>
          <w:color w:val="auto"/>
        </w:rPr>
        <w:t>1</w:t>
      </w:r>
      <w:r>
        <w:rPr>
          <w:color w:val="auto"/>
        </w:rPr>
        <w:fldChar w:fldCharType="end"/>
      </w:r>
      <w:r>
        <w:rPr>
          <w:color w:val="auto"/>
        </w:rPr>
        <w:t xml:space="preserve"> - "gestión de zona horaria"</w:t>
      </w:r>
    </w:p>
    <w:p>
      <w:r>
        <w:t>Como se puede apreciar en la ilustración 1, en el modulo de edición del sistema, se puede configurar la zona horaria a la que pertenece el medidor.</w:t>
      </w:r>
    </w:p>
    <w:p>
      <w:r>
        <w:t xml:space="preserve">Además, en caso de que el sistema detecte que exista una diferencia horaria con el medidor, el medidor se puede configurar mediante la misma plataforma, con el horario que se tiene configurado. </w:t>
      </w:r>
    </w:p>
    <w:p>
      <w:pPr>
        <w:rPr>
          <w:rFonts w:hint="default"/>
          <w:lang w:val="es-CL"/>
        </w:rPr>
      </w:pPr>
      <w:r>
        <w:t>Esto se puede realizar mediante la pestaña de pruebas, en la opción “Sincronización de reloj”</w:t>
      </w:r>
      <w:r>
        <w:rPr>
          <w:rFonts w:hint="default"/>
          <w:lang w:val="es-CL"/>
        </w:rPr>
        <w:t xml:space="preserve"> por parte del usuario de Starbeat.</w:t>
      </w:r>
    </w:p>
    <w:p>
      <w:pPr>
        <w:keepNext/>
      </w:pPr>
      <w:r>
        <w:drawing>
          <wp:inline distT="0" distB="0" distL="0" distR="0">
            <wp:extent cx="5943600" cy="2796540"/>
            <wp:effectExtent l="0" t="0" r="0" b="3810"/>
            <wp:docPr id="2" name="Imagen 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orreo electrónico&#10;&#10;Descripción generada automáticamente"/>
                    <pic:cNvPicPr>
                      <a:picLocks noChangeAspect="1"/>
                    </pic:cNvPicPr>
                  </pic:nvPicPr>
                  <pic:blipFill>
                    <a:blip r:embed="rId14"/>
                    <a:stretch>
                      <a:fillRect/>
                    </a:stretch>
                  </pic:blipFill>
                  <pic:spPr>
                    <a:xfrm>
                      <a:off x="0" y="0"/>
                      <a:ext cx="5943600" cy="2796540"/>
                    </a:xfrm>
                    <a:prstGeom prst="rect">
                      <a:avLst/>
                    </a:prstGeom>
                  </pic:spPr>
                </pic:pic>
              </a:graphicData>
            </a:graphic>
          </wp:inline>
        </w:drawing>
      </w:r>
    </w:p>
    <w:p>
      <w:pPr>
        <w:pStyle w:val="14"/>
        <w:jc w:val="center"/>
        <w:rPr>
          <w:color w:val="auto"/>
        </w:rPr>
      </w:pPr>
      <w:r>
        <w:rPr>
          <w:color w:val="auto"/>
        </w:rPr>
        <w:t xml:space="preserve">Ilustración </w:t>
      </w:r>
      <w:r>
        <w:rPr>
          <w:color w:val="auto"/>
        </w:rPr>
        <w:fldChar w:fldCharType="begin"/>
      </w:r>
      <w:r>
        <w:rPr>
          <w:color w:val="auto"/>
        </w:rPr>
        <w:instrText xml:space="preserve"> SEQ Ilustración \* ARABIC </w:instrText>
      </w:r>
      <w:r>
        <w:rPr>
          <w:color w:val="auto"/>
        </w:rPr>
        <w:fldChar w:fldCharType="separate"/>
      </w:r>
      <w:r>
        <w:rPr>
          <w:color w:val="auto"/>
        </w:rPr>
        <w:t>2</w:t>
      </w:r>
      <w:r>
        <w:rPr>
          <w:color w:val="auto"/>
        </w:rPr>
        <w:fldChar w:fldCharType="end"/>
      </w:r>
      <w:r>
        <w:rPr>
          <w:color w:val="auto"/>
        </w:rPr>
        <w:t xml:space="preserve"> - "Sincronización de reloj"</w:t>
      </w:r>
    </w:p>
    <w:p/>
    <w:p>
      <w:r>
        <w:t xml:space="preserve">Para mayor información acerca de la configuración horaria de la plataforma se recomienda revisar el siguiente link: </w:t>
      </w:r>
      <w:r>
        <w:fldChar w:fldCharType="begin"/>
      </w:r>
      <w:r>
        <w:instrText xml:space="preserve"> HYPERLINK "http://confluence.enelint.global/display/STARBEAT/FU+-++Time+Zone+management" </w:instrText>
      </w:r>
      <w:r>
        <w:fldChar w:fldCharType="separate"/>
      </w:r>
      <w:r>
        <w:rPr>
          <w:rStyle w:val="11"/>
        </w:rPr>
        <w:t>FU - Time Zone management</w:t>
      </w:r>
      <w:r>
        <w:rPr>
          <w:rStyle w:val="11"/>
        </w:rPr>
        <w:fldChar w:fldCharType="end"/>
      </w:r>
    </w:p>
    <w:p>
      <w:pPr>
        <w:pStyle w:val="28"/>
      </w:pPr>
    </w:p>
    <w:p>
      <w:pPr>
        <w:pStyle w:val="28"/>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p>
    <w:p>
      <w:pPr>
        <w:pStyle w:val="28"/>
        <w:rPr>
          <w:rFonts w:hint="default"/>
          <w:lang w:val="es-CL"/>
        </w:rPr>
      </w:pPr>
      <w:r>
        <w:rPr>
          <w:rFonts w:hint="default"/>
          <w:lang w:val="es-CL"/>
        </w:rPr>
        <w:t>Reporte Desfase horario:</w:t>
      </w:r>
    </w:p>
    <w:p>
      <w:pPr>
        <w:rPr>
          <w:rFonts w:hint="default"/>
          <w:lang w:val="es-CL"/>
        </w:rPr>
      </w:pPr>
    </w:p>
    <w:p>
      <w:pPr>
        <w:rPr>
          <w:rFonts w:hint="default"/>
          <w:lang w:val="es-CL"/>
        </w:rPr>
      </w:pPr>
      <w:r>
        <w:rPr>
          <w:rFonts w:hint="default"/>
          <w:lang w:val="es-CL"/>
        </w:rPr>
        <w:t>Para el caso de los medidores gestionados por Starbeat, se habilita un reporte que permite monitorear desfases horarios y aplicar las acción correctivas de ser necesario.</w:t>
      </w:r>
    </w:p>
    <w:p>
      <w:pPr>
        <w:pStyle w:val="28"/>
        <w:rPr>
          <w:rFonts w:hint="default"/>
          <w:lang w:val="es-CL"/>
        </w:rPr>
      </w:pPr>
    </w:p>
    <w:p>
      <w:pPr>
        <w:pStyle w:val="28"/>
        <w:rPr>
          <w:rFonts w:hint="default"/>
          <w:lang w:val="es-CL"/>
        </w:rPr>
      </w:pPr>
      <w:r>
        <w:drawing>
          <wp:inline distT="0" distB="0" distL="114300" distR="114300">
            <wp:extent cx="5932805" cy="2738755"/>
            <wp:effectExtent l="0" t="0" r="10795" b="444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15"/>
                    <a:stretch>
                      <a:fillRect/>
                    </a:stretch>
                  </pic:blipFill>
                  <pic:spPr>
                    <a:xfrm>
                      <a:off x="0" y="0"/>
                      <a:ext cx="5932805" cy="2738755"/>
                    </a:xfrm>
                    <a:prstGeom prst="rect">
                      <a:avLst/>
                    </a:prstGeom>
                    <a:noFill/>
                    <a:ln>
                      <a:noFill/>
                    </a:ln>
                  </pic:spPr>
                </pic:pic>
              </a:graphicData>
            </a:graphic>
          </wp:inline>
        </w:drawing>
      </w:r>
    </w:p>
    <w:p>
      <w:pPr>
        <w:pStyle w:val="28"/>
      </w:pPr>
    </w:p>
    <w:p>
      <w:pPr>
        <w:pStyle w:val="28"/>
      </w:pPr>
    </w:p>
    <w:p>
      <w:pPr>
        <w:pStyle w:val="28"/>
      </w:pPr>
    </w:p>
    <w:p>
      <w:pPr>
        <w:pStyle w:val="28"/>
      </w:pPr>
    </w:p>
    <w:p>
      <w:pPr>
        <w:pStyle w:val="28"/>
      </w:pPr>
    </w:p>
    <w:p>
      <w:pPr>
        <w:pStyle w:val="28"/>
      </w:pPr>
      <w:bookmarkStart w:id="0" w:name="_GoBack"/>
      <w:bookmarkEnd w:id="0"/>
    </w:p>
    <w:p>
      <w:pPr>
        <w:spacing w:line="276" w:lineRule="auto"/>
        <w:rPr>
          <w:sz w:val="32"/>
          <w:szCs w:val="32"/>
        </w:rPr>
      </w:pPr>
    </w:p>
    <w:p>
      <w:pPr>
        <w:jc w:val="center"/>
        <w:rPr>
          <w:rFonts w:ascii="Helvetica Light" w:hAnsi="Helvetica Light"/>
          <w:b/>
          <w:bCs/>
          <w:szCs w:val="20"/>
          <w:lang w:val="es-ES"/>
        </w:rPr>
      </w:pPr>
      <w:r>
        <w:rPr>
          <w:sz w:val="32"/>
          <w:szCs w:val="32"/>
        </w:rPr>
        <w:t>-FIN DE DOCUMENTO-</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Neue Light">
    <w:altName w:val="Times New Roman"/>
    <w:panose1 w:val="00000000000000000000"/>
    <w:charset w:val="00"/>
    <w:family w:val="auto"/>
    <w:pitch w:val="default"/>
    <w:sig w:usb0="00000000" w:usb1="00000000" w:usb2="00000000" w:usb3="00000000" w:csb0="00000000" w:csb1="00000000"/>
  </w:font>
  <w:font w:name="Helvetica Light">
    <w:altName w:val="AMGDT"/>
    <w:panose1 w:val="00000000000000000000"/>
    <w:charset w:val="00"/>
    <w:family w:val="swiss"/>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rFonts w:ascii="Helvetica Neue Light" w:hAnsi="Helvetica Neue Light" w:eastAsia="Helvetica Neue Light" w:cs="Helvetica Neue Light"/>
        <w:color w:val="000000"/>
        <w:sz w:val="18"/>
        <w:szCs w:val="18"/>
      </w:rPr>
    </w:pPr>
    <w:r>
      <w:rPr>
        <w:rFonts w:ascii="Helvetica Neue Light" w:hAnsi="Helvetica Neue Light" w:eastAsia="Helvetica Neue Light" w:cs="Helvetica Neue Light"/>
        <w:color w:val="000000"/>
        <w:sz w:val="18"/>
        <w:szCs w:val="18"/>
      </w:rPr>
      <w:t xml:space="preserve">Página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PAGE</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2</w:t>
    </w:r>
    <w:r>
      <w:rPr>
        <w:rFonts w:ascii="Helvetica Neue Light" w:hAnsi="Helvetica Neue Light" w:eastAsia="Helvetica Neue Light" w:cs="Helvetica Neue Light"/>
        <w:color w:val="000000"/>
        <w:sz w:val="18"/>
        <w:szCs w:val="18"/>
      </w:rPr>
      <w:fldChar w:fldCharType="end"/>
    </w:r>
    <w:r>
      <w:rPr>
        <w:rFonts w:ascii="Helvetica Neue Light" w:hAnsi="Helvetica Neue Light" w:eastAsia="Helvetica Neue Light" w:cs="Helvetica Neue Light"/>
        <w:color w:val="000000"/>
        <w:sz w:val="18"/>
        <w:szCs w:val="18"/>
      </w:rPr>
      <w:t xml:space="preserve"> de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NUMPAGES</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18</w:t>
    </w:r>
    <w:r>
      <w:rPr>
        <w:rFonts w:ascii="Helvetica Neue Light" w:hAnsi="Helvetica Neue Light" w:eastAsia="Helvetica Neue Light" w:cs="Helvetica Neue Light"/>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pP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76" w:lineRule="auto"/>
      <w:rPr>
        <w:rFonts w:ascii="Arial" w:hAnsi="Arial" w:eastAsia="Arial" w:cs="Arial"/>
        <w:szCs w:val="20"/>
      </w:rPr>
    </w:pPr>
  </w:p>
  <w:p>
    <w:pPr>
      <w:widowControl w:val="0"/>
      <w:spacing w:line="276" w:lineRule="auto"/>
      <w:rPr>
        <w:rFonts w:ascii="Arial" w:hAnsi="Arial" w:eastAsia="Arial" w:cs="Arial"/>
        <w:szCs w:val="20"/>
      </w:rPr>
    </w:pPr>
    <w:r>
      <w:rPr>
        <w:rFonts w:ascii="Arial" w:hAnsi="Arial" w:eastAsia="Arial" w:cs="Arial"/>
        <w:szCs w:val="20"/>
        <w:lang w:eastAsia="es-CL"/>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66700"/>
              <wp:effectExtent l="0" t="0" r="0" b="0"/>
              <wp:wrapNone/>
              <wp:docPr id="3" name="MSIPCM5a4b44dfaefece02dfd56d69" descr="{&quot;HashCode&quot;:16008752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5a4b44dfaefece02dfd56d69" o:spid="_x0000_s1026" o:spt="202" alt="{&quot;HashCode&quot;:1600875240,&quot;Height&quot;:792.0,&quot;Width&quot;:612.0,&quot;Placement&quot;:&quot;Header&quot;,&quot;Index&quot;:&quot;Primary&quot;,&quot;Section&quot;:1,&quot;Top&quot;:0.0,&quot;Left&quot;:0.0}" type="#_x0000_t202" style="position:absolute;left:0pt;margin-left:0pt;margin-top:15pt;height:21pt;width:612pt;mso-position-horizontal-relative:page;mso-position-vertical-relative:page;z-index:251660288;mso-width-relative:page;mso-height-relative:page;" filled="f" stroked="f" coordsize="21600,21600" o:allowincell="f" o:gfxdata="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valq21AAAAAcBAAAPAAAAAAAAAAEAIAAAACIAAABkcnMvZG93bnJldi54bWxQ&#10;SwECFAAUAAAACACHTuJAAYQe/6YCAABaBQAADgAAAAAAAAABACAAAAAjAQAAZHJzL2Uyb0RvYy54&#10;bWxQSwUGAAAAAAYABgBZAQAAOwY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tbl>
    <w:tblPr>
      <w:tblStyle w:val="37"/>
      <w:tblW w:w="9350" w:type="dxa"/>
      <w:jc w:val="center"/>
      <w:tblLayout w:type="fixed"/>
      <w:tblCellMar>
        <w:top w:w="66" w:type="dxa"/>
        <w:left w:w="71" w:type="dxa"/>
        <w:bottom w:w="22" w:type="dxa"/>
        <w:right w:w="47" w:type="dxa"/>
      </w:tblCellMar>
    </w:tblPr>
    <w:tblGrid>
      <w:gridCol w:w="1326"/>
      <w:gridCol w:w="1869"/>
      <w:gridCol w:w="1064"/>
      <w:gridCol w:w="2014"/>
      <w:gridCol w:w="1436"/>
      <w:gridCol w:w="1641"/>
    </w:tblGrid>
    <w:tr>
      <w:tblPrEx>
        <w:tblCellMar>
          <w:top w:w="66" w:type="dxa"/>
          <w:left w:w="71" w:type="dxa"/>
          <w:bottom w:w="22" w:type="dxa"/>
          <w:right w:w="47" w:type="dxa"/>
        </w:tblCellMar>
      </w:tblPrEx>
      <w:trPr>
        <w:trHeight w:val="20" w:hRule="atLeast"/>
        <w:jc w:val="center"/>
      </w:trPr>
      <w:tc>
        <w:tcPr>
          <w:tcW w:w="1326" w:type="dxa"/>
          <w:vMerge w:val="restart"/>
          <w:tcBorders>
            <w:top w:val="single" w:color="000000" w:sz="4" w:space="0"/>
            <w:left w:val="single" w:color="000000" w:sz="4" w:space="0"/>
            <w:bottom w:val="single" w:color="000000" w:sz="4" w:space="0"/>
            <w:right w:val="single" w:color="000000" w:sz="4" w:space="0"/>
          </w:tcBorders>
          <w:vAlign w:val="center"/>
        </w:tcPr>
        <w:p>
          <w:pPr>
            <w:spacing w:line="259" w:lineRule="auto"/>
            <w:ind w:right="66"/>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lang w:eastAsia="es-CL"/>
            </w:rPr>
            <w:drawing>
              <wp:inline distT="0" distB="0" distL="0" distR="0">
                <wp:extent cx="725170" cy="389890"/>
                <wp:effectExtent l="0" t="0" r="0" b="0"/>
                <wp:docPr id="142" name="image1.png"/>
                <wp:cNvGraphicFramePr/>
                <a:graphic xmlns:a="http://schemas.openxmlformats.org/drawingml/2006/main">
                  <a:graphicData uri="http://schemas.openxmlformats.org/drawingml/2006/picture">
                    <pic:pic xmlns:pic="http://schemas.openxmlformats.org/drawingml/2006/picture">
                      <pic:nvPicPr>
                        <pic:cNvPr id="142" name="image1.png"/>
                        <pic:cNvPicPr preferRelativeResize="0"/>
                      </pic:nvPicPr>
                      <pic:blipFill>
                        <a:blip r:embed="rId1"/>
                        <a:srcRect/>
                        <a:stretch>
                          <a:fillRect/>
                        </a:stretch>
                      </pic:blipFill>
                      <pic:spPr>
                        <a:xfrm>
                          <a:off x="0" y="0"/>
                          <a:ext cx="725170" cy="389890"/>
                        </a:xfrm>
                        <a:prstGeom prst="rect">
                          <a:avLst/>
                        </a:prstGeom>
                      </pic:spPr>
                    </pic:pic>
                  </a:graphicData>
                </a:graphic>
              </wp:inline>
            </w:drawing>
          </w:r>
        </w:p>
      </w:tc>
      <w:tc>
        <w:tcPr>
          <w:tcW w:w="2933" w:type="dxa"/>
          <w:gridSpan w:val="2"/>
          <w:tcBorders>
            <w:top w:val="single" w:color="000000" w:sz="4" w:space="0"/>
            <w:left w:val="single" w:color="000000" w:sz="4" w:space="0"/>
            <w:bottom w:val="single" w:color="000000" w:sz="4" w:space="0"/>
            <w:right w:val="single" w:color="000000" w:sz="4" w:space="0"/>
          </w:tcBorders>
          <w:vAlign w:val="center"/>
        </w:tcPr>
        <w:p>
          <w:pPr>
            <w:pStyle w:val="42"/>
          </w:pPr>
          <w:r>
            <w:t>Enel Distribución Chile</w:t>
          </w:r>
        </w:p>
      </w:tc>
      <w:tc>
        <w:tcPr>
          <w:tcW w:w="3450" w:type="dxa"/>
          <w:gridSpan w:val="2"/>
          <w:tcBorders>
            <w:top w:val="single" w:color="000000" w:sz="4" w:space="0"/>
            <w:left w:val="single" w:color="000000" w:sz="4" w:space="0"/>
            <w:bottom w:val="single" w:color="000000" w:sz="4" w:space="0"/>
            <w:right w:val="single" w:color="000000" w:sz="4" w:space="0"/>
          </w:tcBorders>
          <w:vAlign w:val="center"/>
        </w:tcPr>
        <w:p>
          <w:pPr>
            <w:pStyle w:val="42"/>
          </w:pPr>
          <w:r>
            <w:rPr>
              <w:sz w:val="23"/>
              <w:szCs w:val="23"/>
            </w:rPr>
            <w:t xml:space="preserve">Infraestructura Avanzada de Medición </w:t>
          </w:r>
        </w:p>
      </w:tc>
      <w:tc>
        <w:tcPr>
          <w:tcW w:w="1641" w:type="dxa"/>
          <w:tcBorders>
            <w:top w:val="single" w:color="000000" w:sz="4" w:space="0"/>
            <w:left w:val="single" w:color="000000" w:sz="4" w:space="0"/>
            <w:bottom w:val="single" w:color="000000" w:sz="4" w:space="0"/>
            <w:right w:val="single" w:color="000000" w:sz="4" w:space="0"/>
          </w:tcBorders>
          <w:vAlign w:val="center"/>
        </w:tcPr>
        <w:p>
          <w:pPr>
            <w:pStyle w:val="42"/>
          </w:pPr>
          <w:r>
            <w:t>ID documento:</w:t>
          </w:r>
        </w:p>
        <w:p>
          <w:pPr>
            <w:pStyle w:val="42"/>
            <w:rPr>
              <w:rFonts w:hint="default"/>
              <w:lang w:val="es-CL"/>
            </w:rPr>
          </w:pPr>
          <w:r>
            <w:rPr>
              <w:rFonts w:hint="default"/>
              <w:lang w:val="es-CL"/>
            </w:rPr>
            <w:t>ID-007</w:t>
          </w:r>
        </w:p>
      </w:tc>
    </w:tr>
    <w:tr>
      <w:tblPrEx>
        <w:tblCellMar>
          <w:top w:w="66" w:type="dxa"/>
          <w:left w:w="71" w:type="dxa"/>
          <w:bottom w:w="22" w:type="dxa"/>
          <w:right w:w="47" w:type="dxa"/>
        </w:tblCellMar>
      </w:tblPrEx>
      <w:trPr>
        <w:trHeight w:val="20" w:hRule="atLeast"/>
        <w:jc w:val="center"/>
      </w:trPr>
      <w:tc>
        <w:tcPr>
          <w:tcW w:w="1326" w:type="dxa"/>
          <w:vMerge w:val="continue"/>
          <w:tcBorders>
            <w:top w:val="single" w:color="000000" w:sz="4" w:space="0"/>
            <w:left w:val="single" w:color="000000" w:sz="4" w:space="0"/>
            <w:bottom w:val="single" w:color="000000" w:sz="4" w:space="0"/>
            <w:right w:val="single" w:color="000000" w:sz="4" w:space="0"/>
          </w:tcBorders>
          <w:vAlign w:val="center"/>
        </w:tcPr>
        <w:p>
          <w:pPr>
            <w:widowControl w:val="0"/>
            <w:spacing w:line="276" w:lineRule="auto"/>
            <w:rPr>
              <w:rFonts w:ascii="Helvetica Neue Light" w:hAnsi="Helvetica Neue Light" w:eastAsia="Helvetica Neue Light" w:cs="Helvetica Neue Light"/>
              <w:sz w:val="18"/>
              <w:szCs w:val="18"/>
            </w:rPr>
          </w:pPr>
        </w:p>
      </w:tc>
      <w:tc>
        <w:tcPr>
          <w:tcW w:w="8024" w:type="dxa"/>
          <w:gridSpan w:val="5"/>
          <w:tcBorders>
            <w:top w:val="single" w:color="000000" w:sz="4" w:space="0"/>
            <w:left w:val="single" w:color="000000" w:sz="4" w:space="0"/>
            <w:bottom w:val="single" w:color="000000" w:sz="4" w:space="0"/>
            <w:right w:val="single" w:color="000000" w:sz="4" w:space="0"/>
          </w:tcBorders>
          <w:vAlign w:val="center"/>
        </w:tcPr>
        <w:p>
          <w:pPr>
            <w:pStyle w:val="42"/>
          </w:pPr>
          <w:r>
            <w:t>Gestión de Eventos y Alarmas</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2"/>
          </w:pPr>
          <w:r>
            <w:t>Especialista a cargo:</w:t>
          </w:r>
        </w:p>
      </w:tc>
      <w:tc>
        <w:tcPr>
          <w:tcW w:w="3078" w:type="dxa"/>
          <w:gridSpan w:val="2"/>
          <w:tcBorders>
            <w:top w:val="single" w:color="000000" w:sz="4" w:space="0"/>
            <w:left w:val="single" w:color="000000" w:sz="4" w:space="0"/>
            <w:bottom w:val="single" w:color="000000" w:sz="4" w:space="0"/>
            <w:right w:val="single" w:color="000000" w:sz="4" w:space="0"/>
          </w:tcBorders>
          <w:vAlign w:val="center"/>
        </w:tcPr>
        <w:p>
          <w:pPr>
            <w:pStyle w:val="42"/>
          </w:pPr>
          <w:r>
            <w:t>Autor:</w:t>
          </w:r>
        </w:p>
      </w:tc>
      <w:tc>
        <w:tcPr>
          <w:tcW w:w="3077" w:type="dxa"/>
          <w:gridSpan w:val="2"/>
          <w:tcBorders>
            <w:top w:val="single" w:color="000000" w:sz="4" w:space="0"/>
            <w:left w:val="single" w:color="000000" w:sz="4" w:space="0"/>
            <w:bottom w:val="single" w:color="000000" w:sz="4" w:space="0"/>
            <w:right w:val="single" w:color="000000" w:sz="4" w:space="0"/>
          </w:tcBorders>
          <w:vAlign w:val="center"/>
        </w:tcPr>
        <w:p>
          <w:pPr>
            <w:pStyle w:val="42"/>
          </w:pPr>
          <w:r>
            <w:t>Revisado por:</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2"/>
          </w:pPr>
          <w:r>
            <w:t>Yiris Majluf Alvarado</w:t>
          </w:r>
        </w:p>
      </w:tc>
      <w:tc>
        <w:tcPr>
          <w:tcW w:w="3078" w:type="dxa"/>
          <w:gridSpan w:val="2"/>
          <w:tcBorders>
            <w:top w:val="single" w:color="000000" w:sz="4" w:space="0"/>
            <w:left w:val="single" w:color="000000" w:sz="4" w:space="0"/>
            <w:bottom w:val="single" w:color="000000" w:sz="4" w:space="0"/>
            <w:right w:val="single" w:color="000000" w:sz="4" w:space="0"/>
          </w:tcBorders>
        </w:tcPr>
        <w:p>
          <w:pPr>
            <w:pStyle w:val="42"/>
          </w:pPr>
          <w:r>
            <w:t>Yiris Majluf Alvarado</w:t>
          </w:r>
        </w:p>
      </w:tc>
      <w:tc>
        <w:tcPr>
          <w:tcW w:w="3077" w:type="dxa"/>
          <w:gridSpan w:val="2"/>
          <w:tcBorders>
            <w:top w:val="single" w:color="000000" w:sz="4" w:space="0"/>
            <w:left w:val="single" w:color="000000" w:sz="4" w:space="0"/>
            <w:bottom w:val="single" w:color="000000" w:sz="4" w:space="0"/>
            <w:right w:val="single" w:color="000000" w:sz="4" w:space="0"/>
          </w:tcBorders>
        </w:tcPr>
        <w:p>
          <w:pPr>
            <w:pStyle w:val="42"/>
          </w:pPr>
        </w:p>
      </w:tc>
    </w:tr>
  </w:tbl>
  <w:p>
    <w:pP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0D"/>
    <w:rsid w:val="00093D21"/>
    <w:rsid w:val="00143B74"/>
    <w:rsid w:val="001A7321"/>
    <w:rsid w:val="001C229C"/>
    <w:rsid w:val="001D5D84"/>
    <w:rsid w:val="002423CE"/>
    <w:rsid w:val="00262A89"/>
    <w:rsid w:val="00271782"/>
    <w:rsid w:val="003A4F5E"/>
    <w:rsid w:val="00416121"/>
    <w:rsid w:val="00441390"/>
    <w:rsid w:val="0054690D"/>
    <w:rsid w:val="00612C14"/>
    <w:rsid w:val="00662146"/>
    <w:rsid w:val="006E4887"/>
    <w:rsid w:val="0075015A"/>
    <w:rsid w:val="00773BBC"/>
    <w:rsid w:val="007C0FF4"/>
    <w:rsid w:val="00823D41"/>
    <w:rsid w:val="00836C33"/>
    <w:rsid w:val="00867DC5"/>
    <w:rsid w:val="008A7FE3"/>
    <w:rsid w:val="008D6774"/>
    <w:rsid w:val="00934F30"/>
    <w:rsid w:val="009373EC"/>
    <w:rsid w:val="0099262D"/>
    <w:rsid w:val="00AC61F5"/>
    <w:rsid w:val="00AF4E90"/>
    <w:rsid w:val="00B11A03"/>
    <w:rsid w:val="00B2470F"/>
    <w:rsid w:val="00BE5EA3"/>
    <w:rsid w:val="00C211D0"/>
    <w:rsid w:val="00C50FDB"/>
    <w:rsid w:val="00C70859"/>
    <w:rsid w:val="00C70AB4"/>
    <w:rsid w:val="00CA2DA3"/>
    <w:rsid w:val="00CE6BCB"/>
    <w:rsid w:val="00CE7205"/>
    <w:rsid w:val="00CF4F8D"/>
    <w:rsid w:val="00E275F1"/>
    <w:rsid w:val="00EA7ADD"/>
    <w:rsid w:val="00F57BC2"/>
    <w:rsid w:val="00F9176B"/>
    <w:rsid w:val="00FD6115"/>
    <w:rsid w:val="083141D5"/>
    <w:rsid w:val="1E9D2993"/>
    <w:rsid w:val="21AE4622"/>
    <w:rsid w:val="23C135FE"/>
    <w:rsid w:val="244B60F9"/>
    <w:rsid w:val="2AE64354"/>
    <w:rsid w:val="60713B53"/>
    <w:rsid w:val="6A5B7C61"/>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jc w:val="both"/>
    </w:pPr>
    <w:rPr>
      <w:rFonts w:ascii="Calibri" w:hAnsi="Calibri" w:eastAsia="Calibri" w:cs="Calibri"/>
      <w:szCs w:val="24"/>
      <w:lang w:val="es-CL"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uiPriority w:val="0"/>
    <w:rPr>
      <w:color w:val="0000FF"/>
      <w:u w:val="single"/>
    </w:rPr>
  </w:style>
  <w:style w:type="character" w:styleId="12">
    <w:name w:val="FollowedHyperlink"/>
    <w:basedOn w:val="8"/>
    <w:semiHidden/>
    <w:unhideWhenUsed/>
    <w:uiPriority w:val="99"/>
    <w:rPr>
      <w:color w:val="954F72" w:themeColor="followedHyperlink"/>
      <w:u w:val="single"/>
      <w14:textFill>
        <w14:solidFill>
          <w14:schemeClr w14:val="folHlink"/>
        </w14:solidFill>
      </w14:textFill>
    </w:rPr>
  </w:style>
  <w:style w:type="character" w:styleId="13">
    <w:name w:val="page number"/>
    <w:basedOn w:val="8"/>
    <w:semiHidden/>
    <w:unhideWhenUsed/>
    <w:qFormat/>
    <w:uiPriority w:val="99"/>
  </w:style>
  <w:style w:type="paragraph" w:styleId="1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5">
    <w:name w:val="annotation subject"/>
    <w:basedOn w:val="16"/>
    <w:next w:val="16"/>
    <w:link w:val="40"/>
    <w:semiHidden/>
    <w:unhideWhenUsed/>
    <w:qFormat/>
    <w:uiPriority w:val="99"/>
    <w:rPr>
      <w:b/>
      <w:bCs/>
    </w:rPr>
  </w:style>
  <w:style w:type="paragraph" w:styleId="16">
    <w:name w:val="annotation text"/>
    <w:basedOn w:val="1"/>
    <w:link w:val="38"/>
    <w:semiHidden/>
    <w:unhideWhenUsed/>
    <w:qFormat/>
    <w:uiPriority w:val="99"/>
    <w:rPr>
      <w:szCs w:val="20"/>
    </w:rPr>
  </w:style>
  <w:style w:type="paragraph" w:styleId="17">
    <w:name w:val="Balloon Text"/>
    <w:basedOn w:val="1"/>
    <w:link w:val="39"/>
    <w:semiHidden/>
    <w:unhideWhenUsed/>
    <w:uiPriority w:val="99"/>
    <w:rPr>
      <w:rFonts w:ascii="Times New Roman" w:hAnsi="Times New Roman" w:cs="Times New Roman"/>
      <w:sz w:val="18"/>
      <w:szCs w:val="18"/>
    </w:rPr>
  </w:style>
  <w:style w:type="paragraph" w:styleId="18">
    <w:name w:val="header"/>
    <w:basedOn w:val="1"/>
    <w:link w:val="23"/>
    <w:unhideWhenUsed/>
    <w:qFormat/>
    <w:uiPriority w:val="99"/>
    <w:pPr>
      <w:tabs>
        <w:tab w:val="center" w:pos="4680"/>
        <w:tab w:val="right" w:pos="9360"/>
      </w:tabs>
    </w:pPr>
  </w:style>
  <w:style w:type="paragraph" w:styleId="19">
    <w:name w:val="footer"/>
    <w:basedOn w:val="1"/>
    <w:link w:val="24"/>
    <w:unhideWhenUsed/>
    <w:uiPriority w:val="99"/>
    <w:pPr>
      <w:tabs>
        <w:tab w:val="center" w:pos="4680"/>
        <w:tab w:val="right" w:pos="9360"/>
      </w:tabs>
    </w:pPr>
  </w:style>
  <w:style w:type="paragraph" w:styleId="2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1">
    <w:name w:val="Title"/>
    <w:basedOn w:val="1"/>
    <w:next w:val="1"/>
    <w:link w:val="27"/>
    <w:qFormat/>
    <w:uiPriority w:val="10"/>
    <w:pPr>
      <w:autoSpaceDE w:val="0"/>
      <w:autoSpaceDN w:val="0"/>
      <w:adjustRightInd w:val="0"/>
      <w:spacing w:before="8" w:after="1"/>
    </w:pPr>
    <w:rPr>
      <w:rFonts w:ascii="Times New Roman" w:hAnsi="Times New Roman" w:cs="Times New Roman"/>
    </w:rPr>
  </w:style>
  <w:style w:type="table" w:styleId="22">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Encabezado Car"/>
    <w:basedOn w:val="8"/>
    <w:link w:val="18"/>
    <w:qFormat/>
    <w:uiPriority w:val="99"/>
  </w:style>
  <w:style w:type="character" w:customStyle="1" w:styleId="24">
    <w:name w:val="Pie de página Car"/>
    <w:basedOn w:val="8"/>
    <w:link w:val="19"/>
    <w:uiPriority w:val="99"/>
  </w:style>
  <w:style w:type="table" w:customStyle="1" w:styleId="25">
    <w:name w:val="TableGrid"/>
    <w:uiPriority w:val="0"/>
    <w:rPr>
      <w:rFonts w:eastAsiaTheme="minorEastAsia"/>
    </w:rPr>
    <w:tblPr>
      <w:tblCellMar>
        <w:top w:w="0" w:type="dxa"/>
        <w:left w:w="0" w:type="dxa"/>
        <w:bottom w:w="0" w:type="dxa"/>
        <w:right w:w="0" w:type="dxa"/>
      </w:tblCellMar>
    </w:tblPr>
  </w:style>
  <w:style w:type="paragraph" w:styleId="26">
    <w:name w:val="List Paragraph"/>
    <w:basedOn w:val="1"/>
    <w:qFormat/>
    <w:uiPriority w:val="34"/>
    <w:pPr>
      <w:ind w:left="720"/>
      <w:contextualSpacing/>
    </w:pPr>
  </w:style>
  <w:style w:type="character" w:customStyle="1" w:styleId="27">
    <w:name w:val="Título Car"/>
    <w:basedOn w:val="8"/>
    <w:link w:val="21"/>
    <w:uiPriority w:val="1"/>
    <w:rPr>
      <w:rFonts w:ascii="Times New Roman" w:hAnsi="Times New Roman" w:cs="Times New Roman"/>
      <w:lang w:val="es-CL"/>
    </w:rPr>
  </w:style>
  <w:style w:type="paragraph" w:customStyle="1" w:styleId="28">
    <w:name w:val="Table Paragraph"/>
    <w:basedOn w:val="1"/>
    <w:qFormat/>
    <w:uiPriority w:val="1"/>
    <w:rPr>
      <w:rFonts w:ascii="Helvetica Neue Light" w:hAnsi="Helvetica Neue Light" w:eastAsia="Helvetica Neue Light" w:cs="Helvetica Neue Light"/>
      <w:b/>
      <w:szCs w:val="20"/>
    </w:rPr>
  </w:style>
  <w:style w:type="paragraph" w:customStyle="1" w:styleId="29">
    <w:name w:val="Default"/>
    <w:uiPriority w:val="0"/>
    <w:pPr>
      <w:autoSpaceDE w:val="0"/>
      <w:autoSpaceDN w:val="0"/>
      <w:adjustRightInd w:val="0"/>
    </w:pPr>
    <w:rPr>
      <w:rFonts w:ascii="Arial" w:hAnsi="Arial" w:eastAsia="Calibri" w:cs="Arial"/>
      <w:color w:val="000000"/>
      <w:sz w:val="24"/>
      <w:szCs w:val="24"/>
      <w:lang w:val="es-CL" w:eastAsia="en-US" w:bidi="ar-SA"/>
    </w:rPr>
  </w:style>
  <w:style w:type="table" w:customStyle="1" w:styleId="30">
    <w:name w:val="_Style 22"/>
    <w:basedOn w:val="9"/>
    <w:uiPriority w:val="0"/>
    <w:tblPr>
      <w:tblCellMar>
        <w:left w:w="115" w:type="dxa"/>
        <w:right w:w="115" w:type="dxa"/>
      </w:tblCellMar>
    </w:tblPr>
  </w:style>
  <w:style w:type="table" w:customStyle="1" w:styleId="31">
    <w:name w:val="_Style 23"/>
    <w:basedOn w:val="9"/>
    <w:uiPriority w:val="0"/>
    <w:tblPr>
      <w:tblCellMar>
        <w:top w:w="49" w:type="dxa"/>
        <w:left w:w="107" w:type="dxa"/>
        <w:right w:w="115" w:type="dxa"/>
      </w:tblCellMar>
    </w:tblPr>
  </w:style>
  <w:style w:type="table" w:customStyle="1" w:styleId="32">
    <w:name w:val="_Style 24"/>
    <w:basedOn w:val="9"/>
    <w:qFormat/>
    <w:uiPriority w:val="0"/>
    <w:tblPr>
      <w:tblCellMar>
        <w:left w:w="70" w:type="dxa"/>
        <w:right w:w="70" w:type="dxa"/>
      </w:tblCellMar>
    </w:tblPr>
  </w:style>
  <w:style w:type="table" w:customStyle="1" w:styleId="33">
    <w:name w:val="_Style 25"/>
    <w:basedOn w:val="9"/>
    <w:uiPriority w:val="0"/>
    <w:tblPr>
      <w:tblCellMar>
        <w:top w:w="46" w:type="dxa"/>
        <w:right w:w="53" w:type="dxa"/>
      </w:tblCellMar>
    </w:tblPr>
  </w:style>
  <w:style w:type="table" w:customStyle="1" w:styleId="34">
    <w:name w:val="_Style 26"/>
    <w:basedOn w:val="9"/>
    <w:uiPriority w:val="0"/>
    <w:tblPr>
      <w:tblCellMar>
        <w:top w:w="46" w:type="dxa"/>
        <w:right w:w="53" w:type="dxa"/>
      </w:tblCellMar>
    </w:tblPr>
  </w:style>
  <w:style w:type="table" w:customStyle="1" w:styleId="35">
    <w:name w:val="_Style 27"/>
    <w:basedOn w:val="9"/>
    <w:qFormat/>
    <w:uiPriority w:val="0"/>
    <w:tblPr>
      <w:tblCellMar>
        <w:left w:w="115" w:type="dxa"/>
        <w:right w:w="115" w:type="dxa"/>
      </w:tblCellMar>
    </w:tblPr>
  </w:style>
  <w:style w:type="table" w:customStyle="1" w:styleId="36">
    <w:name w:val="_Style 28"/>
    <w:basedOn w:val="9"/>
    <w:qFormat/>
    <w:uiPriority w:val="0"/>
  </w:style>
  <w:style w:type="table" w:customStyle="1" w:styleId="37">
    <w:name w:val="_Style 29"/>
    <w:basedOn w:val="9"/>
    <w:qFormat/>
    <w:uiPriority w:val="0"/>
    <w:tblPr>
      <w:tblCellMar>
        <w:top w:w="66" w:type="dxa"/>
        <w:left w:w="71" w:type="dxa"/>
        <w:bottom w:w="22" w:type="dxa"/>
        <w:right w:w="47" w:type="dxa"/>
      </w:tblCellMar>
    </w:tblPr>
  </w:style>
  <w:style w:type="character" w:customStyle="1" w:styleId="38">
    <w:name w:val="Texto comentario Car"/>
    <w:basedOn w:val="8"/>
    <w:link w:val="16"/>
    <w:semiHidden/>
    <w:uiPriority w:val="99"/>
    <w:rPr>
      <w:sz w:val="20"/>
      <w:szCs w:val="20"/>
    </w:rPr>
  </w:style>
  <w:style w:type="character" w:customStyle="1" w:styleId="39">
    <w:name w:val="Texto de globo Car"/>
    <w:basedOn w:val="8"/>
    <w:link w:val="17"/>
    <w:semiHidden/>
    <w:qFormat/>
    <w:uiPriority w:val="99"/>
    <w:rPr>
      <w:rFonts w:ascii="Times New Roman" w:hAnsi="Times New Roman" w:cs="Times New Roman"/>
      <w:sz w:val="18"/>
      <w:szCs w:val="18"/>
    </w:rPr>
  </w:style>
  <w:style w:type="character" w:customStyle="1" w:styleId="40">
    <w:name w:val="Asunto del comentario Car"/>
    <w:basedOn w:val="38"/>
    <w:link w:val="15"/>
    <w:semiHidden/>
    <w:qFormat/>
    <w:uiPriority w:val="99"/>
    <w:rPr>
      <w:b/>
      <w:bCs/>
      <w:sz w:val="20"/>
      <w:szCs w:val="20"/>
    </w:rPr>
  </w:style>
  <w:style w:type="table" w:customStyle="1" w:styleId="41">
    <w:name w:val="Tabla con cuadrícula1"/>
    <w:basedOn w:val="9"/>
    <w:uiPriority w:val="39"/>
    <w:rPr>
      <w:rFonts w:asciiTheme="minorHAnsi" w:hAnsiTheme="minorHAnsi" w:eastAsiaTheme="minorHAnsi" w:cstheme="minorBidi"/>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
    <w:name w:val="Estilo1"/>
    <w:basedOn w:val="1"/>
    <w:link w:val="43"/>
    <w:qFormat/>
    <w:uiPriority w:val="0"/>
    <w:pPr>
      <w:spacing w:line="259" w:lineRule="auto"/>
      <w:ind w:left="42"/>
      <w:jc w:val="center"/>
    </w:pPr>
    <w:rPr>
      <w:rFonts w:ascii="Helvetica Neue Light" w:hAnsi="Helvetica Neue Light" w:eastAsia="Helvetica Neue Light" w:cs="Helvetica Neue Light"/>
      <w:sz w:val="18"/>
      <w:szCs w:val="18"/>
    </w:rPr>
  </w:style>
  <w:style w:type="character" w:customStyle="1" w:styleId="43">
    <w:name w:val="Estilo1 Car"/>
    <w:basedOn w:val="8"/>
    <w:link w:val="42"/>
    <w:uiPriority w:val="0"/>
    <w:rPr>
      <w:rFonts w:ascii="Helvetica Neue Light" w:hAnsi="Helvetica Neue Light" w:eastAsia="Helvetica Neue Light" w:cs="Helvetica Neue Light"/>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m56bGBkCzjYTtsBc7HKiG3k9dnA==">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ENEL</Company>
  <Pages>3</Pages>
  <Words>303</Words>
  <Characters>1667</Characters>
  <Lines>13</Lines>
  <Paragraphs>3</Paragraphs>
  <TotalTime>58</TotalTime>
  <ScaleCrop>false</ScaleCrop>
  <LinksUpToDate>false</LinksUpToDate>
  <CharactersWithSpaces>1967</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2021-03-15T01:44:00Z</dcterms:created>
  <dc:creator>Luciano Ahumada Fierro</dc:creator>
  <cp:lastModifiedBy>CL146041000</cp:lastModifiedBy>
  <cp:lastPrinted>2021-03-15T03:20:00Z</cp:lastPrinted>
  <dcterms:modified xsi:type="dcterms:W3CDTF">2021-10-13T00:55:34Z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patricio.figueroa@enel.com</vt:lpwstr>
  </property>
  <property fmtid="{D5CDD505-2E9C-101B-9397-08002B2CF9AE}" pid="6" name="MSIP_Label_00183ae1-726f-4969-b787-1995b26b5e2f_SetDate">
    <vt:lpwstr>2020-12-20T19:02:03.5452513Z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811572bd-6ac9-44c3-a1b4-b2fc712acfd7</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patricio.figueroa@enel.com</vt:lpwstr>
  </property>
  <property fmtid="{D5CDD505-2E9C-101B-9397-08002B2CF9AE}" pid="14" name="MSIP_Label_797ad33d-ed35-43c0-b526-22bc83c17deb_SetDate">
    <vt:lpwstr>2020-12-20T19:02:03.5452513Z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811572bd-6ac9-44c3-a1b4-b2fc712acfd7</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ICV">
    <vt:lpwstr>33734F2C9CED442CA0FDF48684BD4D87</vt:lpwstr>
  </property>
</Properties>
</file>