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276" w:lineRule="auto"/>
      </w:pPr>
      <w:r>
        <w:pict>
          <v:shape id="_x0000_s1026" o:spid="_x0000_s1026" o:spt="136" type="#_x0000_t136" style="position:absolute;left:0pt;margin-left:0pt;margin-top:0pt;height:50pt;width:50pt;visibility:hidden;z-index:251659264;mso-width-relative:page;mso-height-relative:page;" coordsize="21600,21600">
            <v:path/>
            <v:fill focussize="0,0"/>
            <v:stroke/>
            <v:imagedata o:title=""/>
            <o:lock v:ext="edit" selection="t"/>
            <v:textpath on="t" fitshape="t" fitpath="t" trim="t" xscale="f" string="" style="font-size:36pt;v-text-align:center;"/>
          </v:shape>
        </w:pict>
      </w:r>
    </w:p>
    <w:p>
      <w:pPr>
        <w:rPr>
          <w:rFonts w:ascii="Helvetica Neue Light" w:hAnsi="Helvetica Neue Light" w:eastAsia="Helvetica Neue Light" w:cs="Helvetica Neue Light"/>
        </w:rPr>
      </w:pPr>
    </w:p>
    <w:p>
      <w:pPr>
        <w:rPr>
          <w:rFonts w:ascii="Helvetica Neue Light" w:hAnsi="Helvetica Neue Light" w:eastAsia="Helvetica Neue Light" w:cs="Helvetica Neue Light"/>
        </w:rPr>
      </w:pPr>
    </w:p>
    <w:p>
      <w:pPr>
        <w:rPr>
          <w:rFonts w:ascii="Helvetica Neue Light" w:hAnsi="Helvetica Neue Light" w:eastAsia="Helvetica Neue Light" w:cs="Helvetica Neue Light"/>
        </w:rPr>
      </w:pPr>
    </w:p>
    <w:p>
      <w:pPr>
        <w:rPr>
          <w:rFonts w:ascii="Helvetica Neue Light" w:hAnsi="Helvetica Neue Light" w:eastAsia="Helvetica Neue Light" w:cs="Helvetica Neue Light"/>
        </w:rPr>
      </w:pPr>
    </w:p>
    <w:p>
      <w:pPr>
        <w:rPr>
          <w:rFonts w:ascii="Helvetica Neue Light" w:hAnsi="Helvetica Neue Light" w:eastAsia="Helvetica Neue Light" w:cs="Helvetica Neue Light"/>
        </w:rPr>
      </w:pPr>
    </w:p>
    <w:p>
      <w:pPr>
        <w:rPr>
          <w:rFonts w:ascii="Helvetica Neue Light" w:hAnsi="Helvetica Neue Light" w:eastAsia="Helvetica Neue Light" w:cs="Helvetica Neue Light"/>
        </w:rPr>
      </w:pPr>
    </w:p>
    <w:p>
      <w:pPr>
        <w:rPr>
          <w:rFonts w:ascii="Helvetica Neue Light" w:hAnsi="Helvetica Neue Light" w:eastAsia="Helvetica Neue Light" w:cs="Helvetica Neue Light"/>
        </w:rPr>
      </w:pPr>
    </w:p>
    <w:p>
      <w:pPr>
        <w:rPr>
          <w:rFonts w:ascii="Helvetica Neue Light" w:hAnsi="Helvetica Neue Light" w:eastAsia="Helvetica Neue Light" w:cs="Helvetica Neue Light"/>
        </w:rPr>
      </w:pPr>
    </w:p>
    <w:p>
      <w:pPr>
        <w:rPr>
          <w:rFonts w:ascii="Helvetica Neue Light" w:hAnsi="Helvetica Neue Light" w:eastAsia="Helvetica Neue Light" w:cs="Helvetica Neue Light"/>
        </w:rPr>
      </w:pPr>
    </w:p>
    <w:p>
      <w:pPr>
        <w:rPr>
          <w:rFonts w:ascii="Helvetica Neue Light" w:hAnsi="Helvetica Neue Light" w:eastAsia="Helvetica Neue Light" w:cs="Helvetica Neue Light"/>
        </w:rPr>
      </w:pPr>
    </w:p>
    <w:p>
      <w:pPr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 </w:t>
      </w:r>
    </w:p>
    <w:p>
      <w:pPr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 </w:t>
      </w:r>
    </w:p>
    <w:p>
      <w:pPr>
        <w:spacing w:line="240" w:lineRule="auto"/>
        <w:jc w:val="center"/>
        <w:rPr>
          <w:rFonts w:ascii="Helvetica Neue Light" w:hAnsi="Helvetica Neue Light" w:eastAsia="Helvetica Neue Light" w:cs="Helvetica Neue Light"/>
          <w:sz w:val="32"/>
          <w:szCs w:val="32"/>
          <w:lang w:eastAsia="es-CL"/>
        </w:rPr>
      </w:pPr>
      <w:r>
        <w:rPr>
          <w:rFonts w:ascii="Helvetica Neue Light" w:hAnsi="Helvetica Neue Light" w:eastAsia="Helvetica Neue Light" w:cs="Helvetica Neue Light"/>
          <w:sz w:val="32"/>
          <w:szCs w:val="32"/>
          <w:lang w:eastAsia="es-CL"/>
        </w:rPr>
        <w:t>Totalización de mediciones de energía activa y reactiva</w:t>
      </w:r>
    </w:p>
    <w:p>
      <w:pPr>
        <w:spacing w:line="240" w:lineRule="auto"/>
        <w:jc w:val="center"/>
        <w:rPr>
          <w:rFonts w:hint="default" w:ascii="Helvetica Neue Light" w:hAnsi="Helvetica Neue Light" w:eastAsia="Helvetica Neue Light" w:cs="Helvetica Neue Light"/>
          <w:b/>
          <w:bCs/>
          <w:sz w:val="32"/>
          <w:szCs w:val="32"/>
          <w:lang w:val="en-US" w:eastAsia="es-CL"/>
        </w:rPr>
      </w:pPr>
      <w:r>
        <w:rPr>
          <w:rFonts w:hint="default" w:ascii="Helvetica Neue Light" w:hAnsi="Helvetica Neue Light" w:eastAsia="Helvetica Neue Light" w:cs="Helvetica Neue Light"/>
          <w:b/>
          <w:bCs/>
          <w:sz w:val="32"/>
          <w:szCs w:val="32"/>
          <w:lang w:val="en-US" w:eastAsia="es-CL"/>
        </w:rPr>
        <w:t>Starbeat</w:t>
      </w:r>
    </w:p>
    <w:p>
      <w:pPr>
        <w:jc w:val="center"/>
        <w:rPr>
          <w:rFonts w:ascii="Helvetica Neue Light" w:hAnsi="Helvetica Neue Light" w:eastAsia="Helvetica Neue Light" w:cs="Helvetica Neue Light"/>
        </w:rPr>
      </w:pPr>
    </w:p>
    <w:p>
      <w:pPr>
        <w:jc w:val="center"/>
        <w:rPr>
          <w:rFonts w:ascii="Helvetica Neue Light" w:hAnsi="Helvetica Neue Light" w:eastAsia="Helvetica Neue Light" w:cs="Helvetica Neue Light"/>
        </w:rPr>
      </w:pPr>
    </w:p>
    <w:p>
      <w:pPr>
        <w:jc w:val="center"/>
        <w:rPr>
          <w:rFonts w:ascii="Helvetica Neue Light" w:hAnsi="Helvetica Neue Light" w:eastAsia="Helvetica Neue Light" w:cs="Helvetica Neue Light"/>
        </w:rPr>
      </w:pPr>
    </w:p>
    <w:p>
      <w:pPr>
        <w:jc w:val="center"/>
        <w:rPr>
          <w:rFonts w:ascii="Helvetica Neue Light" w:hAnsi="Helvetica Neue Light" w:eastAsia="Helvetica Neue Light" w:cs="Helvetica Neue Light"/>
        </w:rPr>
      </w:pPr>
    </w:p>
    <w:p>
      <w:pPr>
        <w:jc w:val="center"/>
        <w:rPr>
          <w:rFonts w:ascii="Helvetica Neue Light" w:hAnsi="Helvetica Neue Light" w:eastAsia="Helvetica Neue Light" w:cs="Helvetica Neue Light"/>
        </w:rPr>
      </w:pPr>
    </w:p>
    <w:p>
      <w:pPr>
        <w:jc w:val="center"/>
        <w:rPr>
          <w:rFonts w:ascii="Helvetica Neue Light" w:hAnsi="Helvetica Neue Light" w:eastAsia="Helvetica Neue Light" w:cs="Helvetica Neue Light"/>
        </w:rPr>
      </w:pPr>
    </w:p>
    <w:p>
      <w:pPr>
        <w:jc w:val="both"/>
        <w:rPr>
          <w:rFonts w:ascii="Helvetica Neue Light" w:hAnsi="Helvetica Neue Light" w:eastAsia="Helvetica Neue Light" w:cs="Helvetica Neue Light"/>
        </w:rPr>
      </w:pPr>
    </w:p>
    <w:p>
      <w:pPr>
        <w:jc w:val="center"/>
        <w:rPr>
          <w:rFonts w:ascii="Helvetica Neue Light" w:hAnsi="Helvetica Neue Light" w:eastAsia="Helvetica Neue Light" w:cs="Helvetica Neue Light"/>
        </w:rPr>
      </w:pPr>
    </w:p>
    <w:p>
      <w:pPr>
        <w:jc w:val="center"/>
        <w:rPr>
          <w:rFonts/>
        </w:rPr>
      </w:pPr>
    </w:p>
    <w:p>
      <w:pPr>
        <w:jc w:val="center"/>
        <w:rPr>
          <w:rFonts/>
        </w:rPr>
      </w:pPr>
    </w:p>
    <w:p>
      <w:pPr>
        <w:jc w:val="center"/>
        <w:rPr>
          <w:rFonts/>
        </w:rPr>
      </w:pPr>
    </w:p>
    <w:p>
      <w:pPr>
        <w:jc w:val="center"/>
        <w:rPr>
          <w:rFonts/>
        </w:rPr>
      </w:pPr>
    </w:p>
    <w:p>
      <w:pPr>
        <w:jc w:val="center"/>
        <w:rPr>
          <w:rFonts w:ascii="Helvetica Neue Light" w:hAnsi="Helvetica Neue Light" w:eastAsia="Helvetica Neue Light" w:cs="Helvetica Neue Light"/>
        </w:rPr>
      </w:pPr>
    </w:p>
    <w:tbl>
      <w:tblPr>
        <w:tblStyle w:val="29"/>
        <w:tblW w:w="935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9" w:type="dxa"/>
          <w:left w:w="107" w:type="dxa"/>
          <w:bottom w:w="0" w:type="dxa"/>
          <w:right w:w="115" w:type="dxa"/>
        </w:tblCellMar>
      </w:tblPr>
      <w:tblGrid>
        <w:gridCol w:w="801"/>
        <w:gridCol w:w="1316"/>
        <w:gridCol w:w="1706"/>
        <w:gridCol w:w="55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9" w:type="dxa"/>
            <w:left w:w="107" w:type="dxa"/>
            <w:bottom w:w="0" w:type="dxa"/>
            <w:right w:w="115" w:type="dxa"/>
          </w:tblCellMar>
        </w:tblPrEx>
        <w:trPr>
          <w:trHeight w:val="20" w:hRule="atLeast"/>
        </w:trPr>
        <w:tc>
          <w:tcPr>
            <w:tcW w:w="9352" w:type="dxa"/>
            <w:gridSpan w:val="4"/>
            <w:shd w:val="clear" w:color="auto" w:fill="D7D7D7"/>
          </w:tcPr>
          <w:p>
            <w:pPr>
              <w:spacing w:line="259" w:lineRule="auto"/>
              <w:jc w:val="center"/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</w:pPr>
            <w:r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  <w:t>Control de versiones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9" w:type="dxa"/>
            <w:left w:w="107" w:type="dxa"/>
            <w:bottom w:w="0" w:type="dxa"/>
            <w:right w:w="115" w:type="dxa"/>
          </w:tblCellMar>
        </w:tblPrEx>
        <w:trPr>
          <w:trHeight w:val="20" w:hRule="atLeast"/>
        </w:trPr>
        <w:tc>
          <w:tcPr>
            <w:tcW w:w="801" w:type="dxa"/>
            <w:shd w:val="clear" w:color="auto" w:fill="D7D7D7"/>
          </w:tcPr>
          <w:p>
            <w:pPr>
              <w:spacing w:line="259" w:lineRule="auto"/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</w:pPr>
            <w:r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  <w:t xml:space="preserve">Versión </w:t>
            </w:r>
          </w:p>
        </w:tc>
        <w:tc>
          <w:tcPr>
            <w:tcW w:w="1316" w:type="dxa"/>
            <w:shd w:val="clear" w:color="auto" w:fill="D7D7D7"/>
          </w:tcPr>
          <w:p>
            <w:pPr>
              <w:spacing w:line="259" w:lineRule="auto"/>
              <w:ind w:left="1"/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</w:pPr>
            <w:r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  <w:t xml:space="preserve">Fecha </w:t>
            </w:r>
          </w:p>
        </w:tc>
        <w:tc>
          <w:tcPr>
            <w:tcW w:w="1706" w:type="dxa"/>
            <w:shd w:val="clear" w:color="auto" w:fill="D7D7D7"/>
          </w:tcPr>
          <w:p>
            <w:pPr>
              <w:spacing w:line="259" w:lineRule="auto"/>
              <w:ind w:left="1"/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</w:pPr>
            <w:r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  <w:t xml:space="preserve">Autor </w:t>
            </w:r>
          </w:p>
        </w:tc>
        <w:tc>
          <w:tcPr>
            <w:tcW w:w="5529" w:type="dxa"/>
            <w:shd w:val="clear" w:color="auto" w:fill="D7D7D7"/>
          </w:tcPr>
          <w:p>
            <w:pPr>
              <w:spacing w:line="259" w:lineRule="auto"/>
              <w:ind w:left="1"/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</w:pPr>
            <w:r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  <w:t>Descripción del cambio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9" w:type="dxa"/>
            <w:left w:w="107" w:type="dxa"/>
            <w:bottom w:w="0" w:type="dxa"/>
            <w:right w:w="115" w:type="dxa"/>
          </w:tblCellMar>
        </w:tblPrEx>
        <w:trPr>
          <w:trHeight w:val="20" w:hRule="atLeast"/>
        </w:trPr>
        <w:tc>
          <w:tcPr>
            <w:tcW w:w="801" w:type="dxa"/>
          </w:tcPr>
          <w:p>
            <w:pPr>
              <w:spacing w:line="259" w:lineRule="auto"/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</w:pPr>
            <w:r>
              <w:rPr>
                <w:szCs w:val="20"/>
              </w:rPr>
              <w:t xml:space="preserve">A </w:t>
            </w:r>
          </w:p>
        </w:tc>
        <w:tc>
          <w:tcPr>
            <w:tcW w:w="1316" w:type="dxa"/>
          </w:tcPr>
          <w:p>
            <w:pPr>
              <w:spacing w:line="259" w:lineRule="auto"/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</w:pPr>
            <w:r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  <w:t>05/10/2021</w:t>
            </w:r>
          </w:p>
        </w:tc>
        <w:tc>
          <w:tcPr>
            <w:tcW w:w="1706" w:type="dxa"/>
          </w:tcPr>
          <w:p>
            <w:pPr>
              <w:spacing w:line="259" w:lineRule="auto"/>
              <w:ind w:left="1"/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</w:pPr>
            <w:r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  <w:t>Yiris Majluf</w:t>
            </w:r>
          </w:p>
        </w:tc>
        <w:tc>
          <w:tcPr>
            <w:tcW w:w="5529" w:type="dxa"/>
          </w:tcPr>
          <w:p>
            <w:pPr>
              <w:spacing w:line="259" w:lineRule="auto"/>
              <w:ind w:left="1"/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</w:pPr>
            <w:r>
              <w:rPr>
                <w:rFonts w:ascii="Helvetica Neue Light" w:hAnsi="Helvetica Neue Light" w:eastAsia="Helvetica Neue Light" w:cs="Helvetica Neue Light"/>
                <w:sz w:val="18"/>
                <w:szCs w:val="18"/>
              </w:rPr>
              <w:t>Publicación Inicial</w:t>
            </w:r>
          </w:p>
        </w:tc>
      </w:tr>
    </w:tbl>
    <w:p>
      <w:pPr>
        <w:rPr>
          <w:rFonts w:ascii="Helvetica Neue Light" w:hAnsi="Helvetica Neue Light" w:eastAsia="Helvetica Neue Light" w:cs="Helvetica Neue Light"/>
          <w:b/>
          <w:szCs w:val="20"/>
        </w:rPr>
      </w:pPr>
    </w:p>
    <w:p>
      <w:pPr>
        <w:pStyle w:val="26"/>
      </w:pPr>
      <w:r>
        <w:t>Resumen</w:t>
      </w:r>
    </w:p>
    <w:p>
      <w:r>
        <w:t xml:space="preserve">El presente documento tiene por objetivo documentar la forma en que </w:t>
      </w:r>
      <w:r>
        <w:t>los medidores comerciales, (</w:t>
      </w:r>
      <w:r>
        <w:rPr>
          <w:rFonts w:hint="default"/>
          <w:lang w:val="es-CL"/>
        </w:rPr>
        <w:t xml:space="preserve">tomando como </w:t>
      </w:r>
      <w:r>
        <w:t xml:space="preserve">caso ejemplo </w:t>
      </w:r>
      <w:r>
        <w:t>medidor EMH</w:t>
      </w:r>
      <w:r>
        <w:t>)</w:t>
      </w:r>
      <w:r>
        <w:t xml:space="preserve"> totaliza</w:t>
      </w:r>
      <w:r>
        <w:t>n</w:t>
      </w:r>
      <w:r>
        <w:t xml:space="preserve"> las mediciones de energía activa y reactiva</w:t>
      </w:r>
      <w:r>
        <w:t xml:space="preserve">.  </w:t>
      </w:r>
      <w:r>
        <w:rPr>
          <w:rFonts w:hint="default"/>
          <w:lang w:val="es-CL"/>
        </w:rPr>
        <w:t>Hay dos maneras de abordarlo,</w:t>
      </w:r>
      <w:r>
        <w:t xml:space="preserve"> desde el software propietario, y desde la extracción directa </w:t>
      </w:r>
      <w:r>
        <w:rPr>
          <w:rFonts w:hint="default"/>
          <w:lang w:val="es-CL"/>
        </w:rPr>
        <w:t>por planificación de actividades de</w:t>
      </w:r>
      <w:r>
        <w:t xml:space="preserve"> Starbeat.</w:t>
      </w:r>
    </w:p>
    <w:p/>
    <w:p/>
    <w:p>
      <w:pPr>
        <w:pStyle w:val="26"/>
      </w:pPr>
      <w:r>
        <w:t>Extracción mediante software propietario (SF):</w:t>
      </w:r>
    </w:p>
    <w:p>
      <w:r>
        <w:t>La solución propia de los medidores EMH, el “Combi Master” tiene la opción de consultar el totalizado de energía mediante una consulta realizada a la tabla 1</w:t>
      </w:r>
      <w:r>
        <w:rPr>
          <w:rFonts w:hint="default"/>
          <w:lang w:val="es-CL"/>
        </w:rPr>
        <w:t xml:space="preserve"> </w:t>
      </w:r>
      <w:r>
        <w:t xml:space="preserve">del medidor, para poder interrogar a un medidor a través del SF es necesario entregar las credenciales de acceso, en este caso la dirección IP, puerto y numero de medidor. </w:t>
      </w:r>
    </w:p>
    <w:p/>
    <w:p>
      <w:pPr>
        <w:keepNext/>
        <w:jc w:val="center"/>
      </w:pPr>
      <w:r>
        <w:drawing>
          <wp:inline distT="0" distB="0" distL="0" distR="0">
            <wp:extent cx="5626735" cy="1215390"/>
            <wp:effectExtent l="0" t="0" r="0" b="3810"/>
            <wp:docPr id="1" name="Imagen 1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3263" cy="12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jc w:val="center"/>
        <w:rPr>
          <w:color w:val="auto"/>
        </w:rPr>
      </w:pPr>
      <w:r>
        <w:rPr>
          <w:color w:val="auto"/>
        </w:rPr>
        <w:t xml:space="preserve">Ilustración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Ilustración \* ARABIC </w:instrText>
      </w:r>
      <w:r>
        <w:rPr>
          <w:color w:val="auto"/>
        </w:rPr>
        <w:fldChar w:fldCharType="separate"/>
      </w:r>
      <w:r>
        <w:rPr>
          <w:color w:val="auto"/>
        </w:rPr>
        <w:t>1</w:t>
      </w:r>
      <w:r>
        <w:rPr>
          <w:color w:val="auto"/>
        </w:rPr>
        <w:fldChar w:fldCharType="end"/>
      </w:r>
      <w:r>
        <w:rPr>
          <w:color w:val="auto"/>
        </w:rPr>
        <w:t xml:space="preserve"> - "Cinta de opciones"</w:t>
      </w:r>
    </w:p>
    <w:p>
      <w:pPr>
        <w:spacing w:line="276" w:lineRule="auto"/>
        <w:rPr>
          <w:rFonts w:ascii="Helvetica Neue Light" w:hAnsi="Helvetica Neue Light" w:eastAsia="Helvetica Neue Light" w:cs="Helvetica Neue Light"/>
          <w:szCs w:val="20"/>
        </w:rPr>
      </w:pPr>
    </w:p>
    <w:p>
      <w:r>
        <w:t xml:space="preserve">Una vez realizada la acción es necesario seleccionar la tabla 1 desde la cinta de opciones del SF, mediante esta selección se realiza la consulta al medidor indicado y se extrae la información que lo compone. </w:t>
      </w:r>
    </w:p>
    <w:p>
      <w:pPr>
        <w:keepNext/>
      </w:pPr>
      <w:r>
        <w:drawing>
          <wp:inline distT="0" distB="0" distL="0" distR="0">
            <wp:extent cx="5943600" cy="2665095"/>
            <wp:effectExtent l="0" t="0" r="0" b="1905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jc w:val="center"/>
      </w:pPr>
      <w:r>
        <w:rPr>
          <w:color w:val="auto"/>
        </w:rPr>
        <w:t xml:space="preserve">Ilustración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Ilustración \* ARABIC </w:instrText>
      </w:r>
      <w:r>
        <w:rPr>
          <w:color w:val="auto"/>
        </w:rPr>
        <w:fldChar w:fldCharType="separate"/>
      </w:r>
      <w:r>
        <w:rPr>
          <w:color w:val="auto"/>
        </w:rPr>
        <w:t>2</w:t>
      </w:r>
      <w:r>
        <w:rPr>
          <w:color w:val="auto"/>
        </w:rPr>
        <w:fldChar w:fldCharType="end"/>
      </w:r>
      <w:r>
        <w:rPr>
          <w:color w:val="auto"/>
        </w:rPr>
        <w:t xml:space="preserve"> - "Tabla 1"</w:t>
      </w:r>
    </w:p>
    <w:p>
      <w:pPr>
        <w:rPr>
          <w:rFonts w:hint="default"/>
          <w:lang w:val="es-CL"/>
        </w:rPr>
      </w:pPr>
      <w:r>
        <w:t>Desde la ilustración 2 – “Tabla 1”, podemos identificar los registros de energía total activa (resaltada) y la energía total reactiva para la tarifa que se encuentra configurada en el medidor.</w:t>
      </w:r>
      <w:r>
        <w:rPr>
          <w:rFonts w:hint="default"/>
          <w:lang w:val="es-CL"/>
        </w:rPr>
        <w:t xml:space="preserve"> En los archivos de aprecia de la siguiente manera:</w:t>
      </w:r>
    </w:p>
    <w:p>
      <w:r>
        <w:drawing>
          <wp:inline distT="0" distB="0" distL="114300" distR="114300">
            <wp:extent cx="5937250" cy="3043555"/>
            <wp:effectExtent l="0" t="0" r="6350" b="4445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</w:pPr>
    </w:p>
    <w:p>
      <w:pPr>
        <w:pStyle w:val="26"/>
      </w:pPr>
      <w:bookmarkStart w:id="0" w:name="_GoBack"/>
      <w:bookmarkEnd w:id="0"/>
      <w:r>
        <w:t>Extracción mediante Starbeat:</w:t>
      </w:r>
    </w:p>
    <w:p>
      <w:r>
        <w:t>Para el caso de Starbeat, también se puede extraer la energía totalizada del medidor, esto se realiza mediante la interrogación del medidor consultando directamente la opción registros de facturación.</w:t>
      </w:r>
    </w:p>
    <w:p/>
    <w:p>
      <w:pPr>
        <w:keepNext/>
        <w:jc w:val="center"/>
      </w:pPr>
      <w:r>
        <w:drawing>
          <wp:inline distT="0" distB="0" distL="0" distR="0">
            <wp:extent cx="5871845" cy="3217545"/>
            <wp:effectExtent l="0" t="0" r="14605" b="1905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jc w:val="center"/>
        <w:rPr>
          <w:color w:val="auto"/>
        </w:rPr>
      </w:pPr>
      <w:r>
        <w:rPr>
          <w:color w:val="auto"/>
        </w:rPr>
        <w:t xml:space="preserve">Ilustración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Ilustración \* ARABIC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color w:val="auto"/>
        </w:rPr>
        <w:t xml:space="preserve"> - "Registros de facturación"</w:t>
      </w:r>
    </w:p>
    <w:p/>
    <w:p>
      <w:r>
        <w:t>Una vez ejecutada la consulta se pueden revisar los registros que se extraen del mismo, la información presentada en esta consulta hace referencia directa a la tabla 1 del software propietario, por lo que la información presentada es igual en ambos casos.</w:t>
      </w:r>
    </w:p>
    <w:p>
      <w:pPr>
        <w:keepNext/>
        <w:jc w:val="center"/>
      </w:pPr>
      <w:r>
        <w:drawing>
          <wp:inline distT="0" distB="0" distL="0" distR="0">
            <wp:extent cx="5916295" cy="3329305"/>
            <wp:effectExtent l="0" t="0" r="8255" b="4445"/>
            <wp:docPr id="5" name="Imagen 5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&#10;&#10;Descripción generada automáticamente con confianza medi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t>4</w:t>
      </w:r>
      <w:r>
        <w:fldChar w:fldCharType="end"/>
      </w:r>
      <w:r>
        <w:t xml:space="preserve"> - "Respuesta registros de facturación"</w:t>
      </w:r>
    </w:p>
    <w:p>
      <w:pPr>
        <w:rPr>
          <w:rFonts w:hint="default"/>
          <w:lang w:val="es-CL"/>
        </w:rPr>
      </w:pPr>
      <w:r>
        <w:rPr>
          <w:rFonts w:hint="default"/>
          <w:lang w:val="es-CL"/>
        </w:rPr>
        <w:t>A modo de ejemplo, e</w:t>
      </w:r>
      <w:r>
        <w:t>n la imagen se encuentran resaltados los valores acumulados de energía total reactiva del medidor</w:t>
      </w:r>
      <w:r>
        <w:rPr>
          <w:rFonts w:hint="default"/>
          <w:lang w:val="es-CL"/>
        </w:rPr>
        <w:t>.</w:t>
      </w:r>
    </w:p>
    <w:p/>
    <w:p/>
    <w:p/>
    <w:p/>
    <w:p/>
    <w:p/>
    <w:p>
      <w:pPr>
        <w:jc w:val="center"/>
        <w:rPr>
          <w:rFonts w:ascii="Helvetica Light" w:hAnsi="Helvetica Light"/>
          <w:b/>
          <w:bCs/>
          <w:szCs w:val="20"/>
          <w:lang w:val="es-ES"/>
        </w:rPr>
      </w:pPr>
      <w:r>
        <w:rPr>
          <w:sz w:val="32"/>
          <w:szCs w:val="32"/>
        </w:rPr>
        <w:t>-FIN DE DOCUMENTO-</w:t>
      </w:r>
    </w:p>
    <w:p>
      <w:pPr>
        <w:rPr>
          <w:rFonts w:ascii="Helvetica Light" w:hAnsi="Helvetica Light"/>
          <w:b/>
          <w:bCs/>
          <w:szCs w:val="20"/>
          <w:lang w:val="es-ES"/>
        </w:rPr>
      </w:pPr>
    </w:p>
    <w:p>
      <w:pPr>
        <w:rPr>
          <w:rFonts w:ascii="Helvetica Light" w:hAnsi="Helvetica Light"/>
          <w:color w:val="FF0000"/>
          <w:szCs w:val="20"/>
          <w:lang w:val="es-ES"/>
        </w:rPr>
      </w:pPr>
    </w:p>
    <w:p>
      <w:pPr>
        <w:rPr>
          <w:rFonts w:ascii="Helvetica Light" w:hAnsi="Helvetica Light"/>
          <w:color w:val="FF0000"/>
          <w:szCs w:val="20"/>
          <w:lang w:val="es-ES"/>
        </w:rPr>
      </w:pPr>
    </w:p>
    <w:p>
      <w:pPr>
        <w:rPr>
          <w:rFonts w:ascii="Helvetica Light" w:hAnsi="Helvetica Light"/>
          <w:color w:val="FF0000"/>
          <w:szCs w:val="20"/>
          <w:lang w:val="es-ES"/>
        </w:rPr>
      </w:pPr>
    </w:p>
    <w:p>
      <w:pPr>
        <w:rPr>
          <w:rFonts w:ascii="Helvetica Light" w:hAnsi="Helvetica Light"/>
          <w:color w:val="FF0000"/>
          <w:szCs w:val="20"/>
          <w:lang w:val="es-ES"/>
        </w:rPr>
      </w:pPr>
    </w:p>
    <w:p>
      <w:pPr>
        <w:rPr>
          <w:rFonts w:ascii="Helvetica Light" w:hAnsi="Helvetica Light"/>
          <w:color w:val="FF0000"/>
          <w:szCs w:val="20"/>
          <w:lang w:val="es-E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 Neue Ligh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Light">
    <w:altName w:val="AMGD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680"/>
        <w:tab w:val="right" w:pos="9360"/>
      </w:tabs>
      <w:jc w:val="center"/>
      <w:rPr>
        <w:rFonts w:ascii="Helvetica Neue Light" w:hAnsi="Helvetica Neue Light" w:eastAsia="Helvetica Neue Light" w:cs="Helvetica Neue Light"/>
        <w:color w:val="000000"/>
        <w:sz w:val="18"/>
        <w:szCs w:val="18"/>
      </w:rPr>
    </w:pP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t xml:space="preserve">Página </w:t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fldChar w:fldCharType="begin"/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instrText xml:space="preserve">PAGE</w:instrText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fldChar w:fldCharType="separate"/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t>2</w:t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fldChar w:fldCharType="end"/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t xml:space="preserve"> de </w:t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fldChar w:fldCharType="begin"/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instrText xml:space="preserve">NUMPAGES</w:instrText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fldChar w:fldCharType="separate"/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t>18</w:t>
    </w:r>
    <w:r>
      <w:rPr>
        <w:rFonts w:ascii="Helvetica Neue Light" w:hAnsi="Helvetica Neue Light" w:eastAsia="Helvetica Neue Light" w:cs="Helvetica Neue Light"/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</w:p>
  <w:p>
    <w:pP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276" w:lineRule="auto"/>
      <w:rPr>
        <w:rFonts w:ascii="Arial" w:hAnsi="Arial" w:eastAsia="Arial" w:cs="Arial"/>
        <w:szCs w:val="20"/>
      </w:rPr>
    </w:pPr>
  </w:p>
  <w:p>
    <w:pPr>
      <w:widowControl w:val="0"/>
      <w:spacing w:line="276" w:lineRule="auto"/>
      <w:rPr>
        <w:rFonts w:ascii="Arial" w:hAnsi="Arial" w:eastAsia="Arial" w:cs="Arial"/>
        <w:szCs w:val="20"/>
      </w:rPr>
    </w:pPr>
    <w:r>
      <w:rPr>
        <w:rFonts w:ascii="Arial" w:hAnsi="Arial" w:eastAsia="Arial" w:cs="Arial"/>
        <w:szCs w:val="20"/>
        <w:lang w:eastAsia="es-CL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3" name="MSIPCM5a4b44dfaefece02dfd56d69" descr="{&quot;HashCode&quot;:160087524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MSIPCM5a4b44dfaefece02dfd56d69" o:spid="_x0000_s1026" o:spt="202" alt="{&quot;HashCode&quot;:1600875240,&quot;Height&quot;:792.0,&quot;Width&quot;:612.0,&quot;Placement&quot;:&quot;Header&quot;,&quot;Index&quot;:&quot;Primary&quot;,&quot;Section&quot;:1,&quot;Top&quot;:0.0,&quot;Left&quot;:0.0}" type="#_x0000_t202" style="position:absolute;left:0pt;margin-left:0pt;margin-top:15pt;height:21pt;width:612pt;mso-position-horizontal-relative:page;mso-position-vertical-relative:page;z-index:251660288;mso-width-relative:page;mso-height-relative:page;" filled="f" stroked="f" coordsize="21600,21600" o:allowincell="f" o:gfxdata="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valq21AAAAAcBAAAPAAAAAAAAAAEAIAAAACIAAABkcnMvZG93bnJldi54bWxQ&#10;SwECFAAUAAAACACHTuJAAYQe/6YCAABaBQAADgAAAAAAAAABACAAAAAjAQAAZHJzL2Uyb0RvYy54&#10;bWxQSwUGAAAAAAYABgBZAQAAOwYAAAAA&#10;">
              <v:fill on="f" focussize="0,0"/>
              <v:stroke on="f" weight="0.5pt"/>
              <v:imagedata o:title=""/>
              <o:lock v:ext="edit" aspectratio="f"/>
              <v:textbox inset="2.54mm,0mm,2.54mm,0mm">
                <w:txbxContent>
                  <w:p>
                    <w:pPr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35"/>
      <w:tblW w:w="9350" w:type="dxa"/>
      <w:jc w:val="center"/>
      <w:tblLayout w:type="fixed"/>
      <w:tblCellMar>
        <w:top w:w="66" w:type="dxa"/>
        <w:left w:w="71" w:type="dxa"/>
        <w:bottom w:w="22" w:type="dxa"/>
        <w:right w:w="47" w:type="dxa"/>
      </w:tblCellMar>
    </w:tblPr>
    <w:tblGrid>
      <w:gridCol w:w="1326"/>
      <w:gridCol w:w="1869"/>
      <w:gridCol w:w="1064"/>
      <w:gridCol w:w="2014"/>
      <w:gridCol w:w="1436"/>
      <w:gridCol w:w="1641"/>
    </w:tblGrid>
    <w:tr>
      <w:tblPrEx>
        <w:tblCellMar>
          <w:top w:w="66" w:type="dxa"/>
          <w:left w:w="71" w:type="dxa"/>
          <w:bottom w:w="22" w:type="dxa"/>
          <w:right w:w="47" w:type="dxa"/>
        </w:tblCellMar>
      </w:tblPrEx>
      <w:trPr>
        <w:trHeight w:val="20" w:hRule="atLeast"/>
        <w:jc w:val="center"/>
      </w:trPr>
      <w:tc>
        <w:tcPr>
          <w:tcW w:w="1326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>
          <w:pPr>
            <w:pStyle w:val="40"/>
          </w:pPr>
          <w:r>
            <w:drawing>
              <wp:inline distT="0" distB="0" distL="0" distR="0">
                <wp:extent cx="725170" cy="389890"/>
                <wp:effectExtent l="0" t="0" r="0" b="0"/>
                <wp:docPr id="14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170" cy="389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33" w:type="dxa"/>
          <w:gridSpan w:val="2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>
          <w:pPr>
            <w:pStyle w:val="40"/>
          </w:pPr>
          <w:r>
            <w:t>Enel Distribución Chile</w:t>
          </w:r>
        </w:p>
      </w:tc>
      <w:tc>
        <w:tcPr>
          <w:tcW w:w="3450" w:type="dxa"/>
          <w:gridSpan w:val="2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>
          <w:pPr>
            <w:pStyle w:val="40"/>
          </w:pPr>
          <w:r>
            <w:rPr>
              <w:sz w:val="23"/>
              <w:szCs w:val="23"/>
            </w:rPr>
            <w:t xml:space="preserve">Infraestructura Avanzada de Medición </w:t>
          </w:r>
        </w:p>
      </w:tc>
      <w:tc>
        <w:tcPr>
          <w:tcW w:w="1641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>
          <w:pPr>
            <w:pStyle w:val="40"/>
          </w:pPr>
          <w:r>
            <w:t>ID documento:</w:t>
          </w:r>
        </w:p>
        <w:p>
          <w:pPr>
            <w:pStyle w:val="40"/>
            <w:rPr>
              <w:rFonts w:hint="default"/>
              <w:lang w:val="es-CL"/>
            </w:rPr>
          </w:pPr>
          <w:r>
            <w:rPr>
              <w:rFonts w:hint="default"/>
              <w:lang w:val="es-CL"/>
            </w:rPr>
            <w:t>ID-008</w:t>
          </w:r>
        </w:p>
      </w:tc>
    </w:tr>
    <w:tr>
      <w:tblPrEx>
        <w:tblCellMar>
          <w:top w:w="66" w:type="dxa"/>
          <w:left w:w="71" w:type="dxa"/>
          <w:bottom w:w="22" w:type="dxa"/>
          <w:right w:w="47" w:type="dxa"/>
        </w:tblCellMar>
      </w:tblPrEx>
      <w:trPr>
        <w:trHeight w:val="20" w:hRule="atLeast"/>
        <w:jc w:val="center"/>
      </w:trPr>
      <w:tc>
        <w:tcPr>
          <w:tcW w:w="1326" w:type="dxa"/>
          <w:vMerge w:val="continue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>
          <w:pPr>
            <w:pStyle w:val="40"/>
          </w:pPr>
        </w:p>
      </w:tc>
      <w:tc>
        <w:tcPr>
          <w:tcW w:w="8024" w:type="dxa"/>
          <w:gridSpan w:val="5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>
          <w:pPr>
            <w:pStyle w:val="40"/>
          </w:pPr>
          <w:r>
            <w:t>Totalización de mediciones de energía activa y reactiva EMH</w:t>
          </w:r>
        </w:p>
      </w:tc>
    </w:tr>
    <w:tr>
      <w:tblPrEx>
        <w:tblCellMar>
          <w:top w:w="66" w:type="dxa"/>
          <w:left w:w="71" w:type="dxa"/>
          <w:bottom w:w="22" w:type="dxa"/>
          <w:right w:w="47" w:type="dxa"/>
        </w:tblCellMar>
      </w:tblPrEx>
      <w:trPr>
        <w:trHeight w:val="20" w:hRule="atLeast"/>
        <w:jc w:val="center"/>
      </w:trPr>
      <w:tc>
        <w:tcPr>
          <w:tcW w:w="3195" w:type="dxa"/>
          <w:gridSpan w:val="2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>
          <w:pPr>
            <w:pStyle w:val="40"/>
          </w:pPr>
          <w:r>
            <w:t>Especialista a cargo:</w:t>
          </w:r>
        </w:p>
      </w:tc>
      <w:tc>
        <w:tcPr>
          <w:tcW w:w="3078" w:type="dxa"/>
          <w:gridSpan w:val="2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>
          <w:pPr>
            <w:pStyle w:val="40"/>
          </w:pPr>
          <w:r>
            <w:t>Autor:</w:t>
          </w:r>
        </w:p>
      </w:tc>
      <w:tc>
        <w:tcPr>
          <w:tcW w:w="3077" w:type="dxa"/>
          <w:gridSpan w:val="2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>
          <w:pPr>
            <w:pStyle w:val="40"/>
          </w:pPr>
          <w:r>
            <w:t>Revisado por:</w:t>
          </w:r>
        </w:p>
      </w:tc>
    </w:tr>
    <w:tr>
      <w:tblPrEx>
        <w:tblCellMar>
          <w:top w:w="66" w:type="dxa"/>
          <w:left w:w="71" w:type="dxa"/>
          <w:bottom w:w="22" w:type="dxa"/>
          <w:right w:w="47" w:type="dxa"/>
        </w:tblCellMar>
      </w:tblPrEx>
      <w:trPr>
        <w:trHeight w:val="20" w:hRule="atLeast"/>
        <w:jc w:val="center"/>
      </w:trPr>
      <w:tc>
        <w:tcPr>
          <w:tcW w:w="3195" w:type="dxa"/>
          <w:gridSpan w:val="2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>
          <w:pPr>
            <w:pStyle w:val="40"/>
          </w:pPr>
          <w:r>
            <w:t>Yiris Majluf Alvarado</w:t>
          </w:r>
        </w:p>
      </w:tc>
      <w:tc>
        <w:tcPr>
          <w:tcW w:w="3078" w:type="dxa"/>
          <w:gridSpan w:val="2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>
          <w:pPr>
            <w:pStyle w:val="40"/>
          </w:pPr>
          <w:r>
            <w:t>Yiris Majluf Alvarado</w:t>
          </w:r>
        </w:p>
      </w:tc>
      <w:tc>
        <w:tcPr>
          <w:tcW w:w="3077" w:type="dxa"/>
          <w:gridSpan w:val="2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>
          <w:pPr>
            <w:pStyle w:val="40"/>
          </w:pPr>
        </w:p>
      </w:tc>
    </w:tr>
  </w:tbl>
  <w:p>
    <w:pP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90D"/>
    <w:rsid w:val="00067E6C"/>
    <w:rsid w:val="00143B74"/>
    <w:rsid w:val="001A7321"/>
    <w:rsid w:val="001C229C"/>
    <w:rsid w:val="001D5D84"/>
    <w:rsid w:val="002423CE"/>
    <w:rsid w:val="00262A89"/>
    <w:rsid w:val="00271782"/>
    <w:rsid w:val="003A4F5E"/>
    <w:rsid w:val="003F6ED4"/>
    <w:rsid w:val="0054690D"/>
    <w:rsid w:val="00567304"/>
    <w:rsid w:val="00574F76"/>
    <w:rsid w:val="00612C14"/>
    <w:rsid w:val="00662146"/>
    <w:rsid w:val="006E4887"/>
    <w:rsid w:val="0075015A"/>
    <w:rsid w:val="00773BBC"/>
    <w:rsid w:val="007C586E"/>
    <w:rsid w:val="00834A7D"/>
    <w:rsid w:val="00836C33"/>
    <w:rsid w:val="00860414"/>
    <w:rsid w:val="00867DC5"/>
    <w:rsid w:val="008A7FE3"/>
    <w:rsid w:val="009373EC"/>
    <w:rsid w:val="0099262D"/>
    <w:rsid w:val="00AE1EBA"/>
    <w:rsid w:val="00AF4E90"/>
    <w:rsid w:val="00B11A03"/>
    <w:rsid w:val="00B2470F"/>
    <w:rsid w:val="00B530AA"/>
    <w:rsid w:val="00B87B26"/>
    <w:rsid w:val="00C50FDB"/>
    <w:rsid w:val="00CE6BCB"/>
    <w:rsid w:val="00CE7205"/>
    <w:rsid w:val="00CF4F8D"/>
    <w:rsid w:val="00E0669E"/>
    <w:rsid w:val="00E275F1"/>
    <w:rsid w:val="00EA7ADD"/>
    <w:rsid w:val="00F02DE7"/>
    <w:rsid w:val="00F063B9"/>
    <w:rsid w:val="00F15586"/>
    <w:rsid w:val="00F9176B"/>
    <w:rsid w:val="00FD6115"/>
    <w:rsid w:val="00FE30A9"/>
    <w:rsid w:val="083141D5"/>
    <w:rsid w:val="21AE4622"/>
    <w:rsid w:val="2287415C"/>
    <w:rsid w:val="2AE64354"/>
    <w:rsid w:val="50A74A00"/>
    <w:rsid w:val="58A54C31"/>
    <w:rsid w:val="6A5B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Calibri" w:hAnsi="Calibri" w:eastAsia="Calibri" w:cs="Calibri"/>
      <w:szCs w:val="24"/>
      <w:lang w:val="es-CL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page number"/>
    <w:basedOn w:val="8"/>
    <w:semiHidden/>
    <w:unhideWhenUsed/>
    <w:qFormat/>
    <w:uiPriority w:val="99"/>
  </w:style>
  <w:style w:type="paragraph" w:styleId="12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3">
    <w:name w:val="annotation subject"/>
    <w:basedOn w:val="14"/>
    <w:next w:val="14"/>
    <w:link w:val="38"/>
    <w:semiHidden/>
    <w:unhideWhenUsed/>
    <w:qFormat/>
    <w:uiPriority w:val="99"/>
    <w:rPr>
      <w:b/>
      <w:bCs/>
    </w:rPr>
  </w:style>
  <w:style w:type="paragraph" w:styleId="14">
    <w:name w:val="annotation text"/>
    <w:basedOn w:val="1"/>
    <w:link w:val="36"/>
    <w:semiHidden/>
    <w:unhideWhenUsed/>
    <w:qFormat/>
    <w:uiPriority w:val="99"/>
    <w:rPr>
      <w:szCs w:val="20"/>
    </w:rPr>
  </w:style>
  <w:style w:type="paragraph" w:styleId="15">
    <w:name w:val="Balloon Text"/>
    <w:basedOn w:val="1"/>
    <w:link w:val="37"/>
    <w:semiHidden/>
    <w:unhideWhenUsed/>
    <w:qFormat/>
    <w:uiPriority w:val="99"/>
    <w:rPr>
      <w:rFonts w:ascii="Times New Roman" w:hAnsi="Times New Roman" w:cs="Times New Roman"/>
      <w:sz w:val="18"/>
      <w:szCs w:val="18"/>
    </w:rPr>
  </w:style>
  <w:style w:type="paragraph" w:styleId="16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</w:pPr>
  </w:style>
  <w:style w:type="paragraph" w:styleId="17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paragraph" w:styleId="1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9">
    <w:name w:val="Title"/>
    <w:basedOn w:val="1"/>
    <w:next w:val="1"/>
    <w:link w:val="25"/>
    <w:qFormat/>
    <w:uiPriority w:val="10"/>
    <w:pPr>
      <w:autoSpaceDE w:val="0"/>
      <w:autoSpaceDN w:val="0"/>
      <w:adjustRightInd w:val="0"/>
      <w:spacing w:before="8" w:after="1"/>
    </w:pPr>
    <w:rPr>
      <w:rFonts w:ascii="Times New Roman" w:hAnsi="Times New Roman" w:cs="Times New Roman"/>
    </w:rPr>
  </w:style>
  <w:style w:type="table" w:styleId="2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Encabezado Car"/>
    <w:basedOn w:val="8"/>
    <w:link w:val="16"/>
    <w:qFormat/>
    <w:uiPriority w:val="99"/>
  </w:style>
  <w:style w:type="character" w:customStyle="1" w:styleId="22">
    <w:name w:val="Pie de página Car"/>
    <w:basedOn w:val="8"/>
    <w:link w:val="17"/>
    <w:qFormat/>
    <w:uiPriority w:val="99"/>
  </w:style>
  <w:style w:type="table" w:customStyle="1" w:styleId="23">
    <w:name w:val="TableGrid"/>
    <w:qFormat/>
    <w:uiPriority w:val="0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Título Car"/>
    <w:basedOn w:val="8"/>
    <w:link w:val="19"/>
    <w:qFormat/>
    <w:uiPriority w:val="1"/>
    <w:rPr>
      <w:rFonts w:ascii="Times New Roman" w:hAnsi="Times New Roman" w:cs="Times New Roman"/>
      <w:lang w:val="es-CL"/>
    </w:rPr>
  </w:style>
  <w:style w:type="paragraph" w:customStyle="1" w:styleId="26">
    <w:name w:val="Table Paragraph"/>
    <w:basedOn w:val="1"/>
    <w:qFormat/>
    <w:uiPriority w:val="1"/>
    <w:rPr>
      <w:rFonts w:ascii="Helvetica Neue Light" w:hAnsi="Helvetica Neue Light" w:eastAsia="Helvetica Neue Light" w:cs="Helvetica Neue Light"/>
      <w:b/>
      <w:szCs w:val="20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</w:pPr>
    <w:rPr>
      <w:rFonts w:ascii="Arial" w:hAnsi="Arial" w:eastAsia="Calibri" w:cs="Arial"/>
      <w:color w:val="000000"/>
      <w:sz w:val="24"/>
      <w:szCs w:val="24"/>
      <w:lang w:val="es-CL" w:eastAsia="en-US" w:bidi="ar-SA"/>
    </w:rPr>
  </w:style>
  <w:style w:type="table" w:customStyle="1" w:styleId="28">
    <w:name w:val="_Style 22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23"/>
    <w:basedOn w:val="9"/>
    <w:qFormat/>
    <w:uiPriority w:val="0"/>
    <w:tblPr>
      <w:tblCellMar>
        <w:top w:w="49" w:type="dxa"/>
        <w:left w:w="107" w:type="dxa"/>
        <w:right w:w="115" w:type="dxa"/>
      </w:tblCellMar>
    </w:tblPr>
  </w:style>
  <w:style w:type="table" w:customStyle="1" w:styleId="30">
    <w:name w:val="_Style 24"/>
    <w:basedOn w:val="9"/>
    <w:qFormat/>
    <w:uiPriority w:val="0"/>
    <w:tblPr>
      <w:tblCellMar>
        <w:left w:w="70" w:type="dxa"/>
        <w:right w:w="70" w:type="dxa"/>
      </w:tblCellMar>
    </w:tblPr>
  </w:style>
  <w:style w:type="table" w:customStyle="1" w:styleId="31">
    <w:name w:val="_Style 25"/>
    <w:basedOn w:val="9"/>
    <w:qFormat/>
    <w:uiPriority w:val="0"/>
    <w:tblPr>
      <w:tblCellMar>
        <w:top w:w="46" w:type="dxa"/>
        <w:right w:w="53" w:type="dxa"/>
      </w:tblCellMar>
    </w:tblPr>
  </w:style>
  <w:style w:type="table" w:customStyle="1" w:styleId="32">
    <w:name w:val="_Style 26"/>
    <w:basedOn w:val="9"/>
    <w:qFormat/>
    <w:uiPriority w:val="0"/>
    <w:tblPr>
      <w:tblCellMar>
        <w:top w:w="46" w:type="dxa"/>
        <w:right w:w="53" w:type="dxa"/>
      </w:tblCellMar>
    </w:tblPr>
  </w:style>
  <w:style w:type="table" w:customStyle="1" w:styleId="33">
    <w:name w:val="_Style 27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4">
    <w:name w:val="_Style 28"/>
    <w:basedOn w:val="9"/>
    <w:qFormat/>
    <w:uiPriority w:val="0"/>
  </w:style>
  <w:style w:type="table" w:customStyle="1" w:styleId="35">
    <w:name w:val="_Style 29"/>
    <w:basedOn w:val="9"/>
    <w:qFormat/>
    <w:uiPriority w:val="0"/>
    <w:tblPr>
      <w:tblCellMar>
        <w:top w:w="66" w:type="dxa"/>
        <w:left w:w="71" w:type="dxa"/>
        <w:bottom w:w="22" w:type="dxa"/>
        <w:right w:w="47" w:type="dxa"/>
      </w:tblCellMar>
    </w:tblPr>
  </w:style>
  <w:style w:type="character" w:customStyle="1" w:styleId="36">
    <w:name w:val="Texto comentario Car"/>
    <w:basedOn w:val="8"/>
    <w:link w:val="14"/>
    <w:semiHidden/>
    <w:qFormat/>
    <w:uiPriority w:val="99"/>
    <w:rPr>
      <w:sz w:val="20"/>
      <w:szCs w:val="20"/>
    </w:rPr>
  </w:style>
  <w:style w:type="character" w:customStyle="1" w:styleId="37">
    <w:name w:val="Texto de globo Car"/>
    <w:basedOn w:val="8"/>
    <w:link w:val="15"/>
    <w:semiHidden/>
    <w:qFormat/>
    <w:uiPriority w:val="99"/>
    <w:rPr>
      <w:rFonts w:ascii="Times New Roman" w:hAnsi="Times New Roman" w:cs="Times New Roman"/>
      <w:sz w:val="18"/>
      <w:szCs w:val="18"/>
    </w:rPr>
  </w:style>
  <w:style w:type="character" w:customStyle="1" w:styleId="38">
    <w:name w:val="Asunto del comentario Car"/>
    <w:basedOn w:val="36"/>
    <w:link w:val="13"/>
    <w:semiHidden/>
    <w:qFormat/>
    <w:uiPriority w:val="99"/>
    <w:rPr>
      <w:b/>
      <w:bCs/>
      <w:sz w:val="20"/>
      <w:szCs w:val="20"/>
    </w:rPr>
  </w:style>
  <w:style w:type="table" w:customStyle="1" w:styleId="39">
    <w:name w:val="Tabla con cuadrícula1"/>
    <w:basedOn w:val="9"/>
    <w:qFormat/>
    <w:uiPriority w:val="39"/>
    <w:rPr>
      <w:rFonts w:asciiTheme="minorHAnsi" w:hAnsiTheme="minorHAnsi" w:eastAsiaTheme="minorHAnsi" w:cstheme="minorBidi"/>
      <w:sz w:val="24"/>
      <w:szCs w:val="24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0">
    <w:name w:val="Estilo1"/>
    <w:basedOn w:val="1"/>
    <w:link w:val="41"/>
    <w:qFormat/>
    <w:uiPriority w:val="0"/>
    <w:pPr>
      <w:spacing w:line="259" w:lineRule="auto"/>
      <w:ind w:right="66"/>
      <w:jc w:val="center"/>
    </w:pPr>
    <w:rPr>
      <w:rFonts w:ascii="Helvetica Neue Light" w:hAnsi="Helvetica Neue Light" w:eastAsia="Helvetica Neue Light" w:cs="Helvetica Neue Light"/>
      <w:sz w:val="18"/>
      <w:szCs w:val="18"/>
      <w:lang w:eastAsia="es-CL"/>
    </w:rPr>
  </w:style>
  <w:style w:type="character" w:customStyle="1" w:styleId="41">
    <w:name w:val="Estilo1 Car"/>
    <w:basedOn w:val="8"/>
    <w:link w:val="40"/>
    <w:qFormat/>
    <w:uiPriority w:val="0"/>
    <w:rPr>
      <w:rFonts w:ascii="Helvetica Neue Light" w:hAnsi="Helvetica Neue Light" w:eastAsia="Helvetica Neue Light" w:cs="Helvetica Neue Light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emf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56bGBkCzjYTtsBc7HKiG3k9dnA==">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ENEL</Company>
  <Pages>4</Pages>
  <Words>334</Words>
  <Characters>1840</Characters>
  <Lines>15</Lines>
  <Paragraphs>4</Paragraphs>
  <TotalTime>6</TotalTime>
  <ScaleCrop>false</ScaleCrop>
  <LinksUpToDate>false</LinksUpToDate>
  <CharactersWithSpaces>2170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2021-03-15T01:44:00Z</dcterms:created>
  <dc:creator>Luciano Ahumada Fierro</dc:creator>
  <cp:lastModifiedBy>CL146041000</cp:lastModifiedBy>
  <cp:lastPrinted>2021-03-15T03:20:00Z</cp:lastPrinted>
  <dcterms:modified xsi:type="dcterms:W3CDTF">2021-10-13T01:22:12Z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2058-11.2.0.10323</vt:lpwstr>
  </property>
  <property fmtid="{D5CDD505-2E9C-101B-9397-08002B2CF9AE}" pid="3" name="MSIP_Label_00183ae1-726f-4969-b787-1995b26b5e2f_Enabled">
    <vt:lpwstr>True</vt:lpwstr>
  </property>
  <property fmtid="{D5CDD505-2E9C-101B-9397-08002B2CF9AE}" pid="4" name="MSIP_Label_00183ae1-726f-4969-b787-1995b26b5e2f_SiteId">
    <vt:lpwstr>d539d4bf-5610-471a-afc2-1c76685cfefa</vt:lpwstr>
  </property>
  <property fmtid="{D5CDD505-2E9C-101B-9397-08002B2CF9AE}" pid="5" name="MSIP_Label_00183ae1-726f-4969-b787-1995b26b5e2f_Owner">
    <vt:lpwstr>patricio.figueroa@enel.com</vt:lpwstr>
  </property>
  <property fmtid="{D5CDD505-2E9C-101B-9397-08002B2CF9AE}" pid="6" name="MSIP_Label_00183ae1-726f-4969-b787-1995b26b5e2f_SetDate">
    <vt:lpwstr>2020-12-20T19:02:03.5452513Z</vt:lpwstr>
  </property>
  <property fmtid="{D5CDD505-2E9C-101B-9397-08002B2CF9AE}" pid="7" name="MSIP_Label_00183ae1-726f-4969-b787-1995b26b5e2f_Name">
    <vt:lpwstr>Internal</vt:lpwstr>
  </property>
  <property fmtid="{D5CDD505-2E9C-101B-9397-08002B2CF9AE}" pid="8" name="MSIP_Label_00183ae1-726f-4969-b787-1995b26b5e2f_Application">
    <vt:lpwstr>Microsoft Azure Information Protection</vt:lpwstr>
  </property>
  <property fmtid="{D5CDD505-2E9C-101B-9397-08002B2CF9AE}" pid="9" name="MSIP_Label_00183ae1-726f-4969-b787-1995b26b5e2f_ActionId">
    <vt:lpwstr>811572bd-6ac9-44c3-a1b4-b2fc712acfd7</vt:lpwstr>
  </property>
  <property fmtid="{D5CDD505-2E9C-101B-9397-08002B2CF9AE}" pid="10" name="MSIP_Label_00183ae1-726f-4969-b787-1995b26b5e2f_Extended_MSFT_Method">
    <vt:lpwstr>Automatic</vt:lpwstr>
  </property>
  <property fmtid="{D5CDD505-2E9C-101B-9397-08002B2CF9AE}" pid="11" name="MSIP_Label_797ad33d-ed35-43c0-b526-22bc83c17deb_Enabled">
    <vt:lpwstr>True</vt:lpwstr>
  </property>
  <property fmtid="{D5CDD505-2E9C-101B-9397-08002B2CF9AE}" pid="12" name="MSIP_Label_797ad33d-ed35-43c0-b526-22bc83c17deb_SiteId">
    <vt:lpwstr>d539d4bf-5610-471a-afc2-1c76685cfefa</vt:lpwstr>
  </property>
  <property fmtid="{D5CDD505-2E9C-101B-9397-08002B2CF9AE}" pid="13" name="MSIP_Label_797ad33d-ed35-43c0-b526-22bc83c17deb_Owner">
    <vt:lpwstr>patricio.figueroa@enel.com</vt:lpwstr>
  </property>
  <property fmtid="{D5CDD505-2E9C-101B-9397-08002B2CF9AE}" pid="14" name="MSIP_Label_797ad33d-ed35-43c0-b526-22bc83c17deb_SetDate">
    <vt:lpwstr>2020-12-20T19:02:03.5452513Z</vt:lpwstr>
  </property>
  <property fmtid="{D5CDD505-2E9C-101B-9397-08002B2CF9AE}" pid="15" name="MSIP_Label_797ad33d-ed35-43c0-b526-22bc83c17deb_Name">
    <vt:lpwstr>Not Encrypted</vt:lpwstr>
  </property>
  <property fmtid="{D5CDD505-2E9C-101B-9397-08002B2CF9AE}" pid="16" name="MSIP_Label_797ad33d-ed35-43c0-b526-22bc83c17deb_Application">
    <vt:lpwstr>Microsoft Azure Information Protection</vt:lpwstr>
  </property>
  <property fmtid="{D5CDD505-2E9C-101B-9397-08002B2CF9AE}" pid="17" name="MSIP_Label_797ad33d-ed35-43c0-b526-22bc83c17deb_ActionId">
    <vt:lpwstr>811572bd-6ac9-44c3-a1b4-b2fc712acfd7</vt:lpwstr>
  </property>
  <property fmtid="{D5CDD505-2E9C-101B-9397-08002B2CF9AE}" pid="18" name="MSIP_Label_797ad33d-ed35-43c0-b526-22bc83c17deb_Parent">
    <vt:lpwstr>00183ae1-726f-4969-b787-1995b26b5e2f</vt:lpwstr>
  </property>
  <property fmtid="{D5CDD505-2E9C-101B-9397-08002B2CF9AE}" pid="19" name="MSIP_Label_797ad33d-ed35-43c0-b526-22bc83c17deb_Extended_MSFT_Method">
    <vt:lpwstr>Automatic</vt:lpwstr>
  </property>
  <property fmtid="{D5CDD505-2E9C-101B-9397-08002B2CF9AE}" pid="20" name="Sensitivity">
    <vt:lpwstr>Internal Not Encrypted</vt:lpwstr>
  </property>
  <property fmtid="{D5CDD505-2E9C-101B-9397-08002B2CF9AE}" pid="21" name="ICV">
    <vt:lpwstr>C52F5C641AAE40E69711A3A9494127E2</vt:lpwstr>
  </property>
</Properties>
</file>