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276" w:lineRule="auto"/>
      </w:pPr>
      <w:r>
        <w:pict>
          <v:shape id="_x0000_s1026" o:spid="_x0000_s1026" o:spt="136" type="#_x0000_t136" style="position:absolute;left:0pt;margin-left:0pt;margin-top:0pt;height:50pt;width:50pt;visibility:hidden;z-index:251659264;mso-width-relative:page;mso-height-relative:page;" coordsize="21600,21600">
            <v:path/>
            <v:fill focussize="0,0"/>
            <v:stroke/>
            <v:imagedata o:title=""/>
            <o:lock v:ext="edit" selection="t"/>
            <v:textpath on="f" fitpath="t" trim="t" xscale="f" string="" style="font-size:36pt;v-text-align:center;"/>
          </v:shape>
        </w:pict>
      </w: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jc w:val="center"/>
        <w:rPr>
          <w:rFonts w:hint="default" w:ascii="Helvetica Neue Light" w:hAnsi="Helvetica Neue Light" w:eastAsia="Helvetica Neue Light" w:cs="Helvetica Neue Light"/>
          <w:sz w:val="32"/>
          <w:szCs w:val="32"/>
          <w:lang w:val="es-CL"/>
        </w:rPr>
      </w:pPr>
      <w:r>
        <w:rPr>
          <w:rFonts w:hint="default" w:ascii="Helvetica Neue Light" w:hAnsi="Helvetica Neue Light" w:eastAsia="Helvetica Neue Light" w:cs="Helvetica Neue Light"/>
          <w:sz w:val="32"/>
          <w:szCs w:val="32"/>
          <w:lang w:val="es-CL"/>
        </w:rPr>
        <w:t xml:space="preserve">Características Funcionales SMMC Solución ENEL </w:t>
      </w:r>
    </w:p>
    <w:p>
      <w:pPr>
        <w:jc w:val="center"/>
        <w:rPr>
          <w:rFonts w:hint="default" w:ascii="Helvetica Neue Light" w:hAnsi="Helvetica Neue Light" w:eastAsia="Helvetica Neue Light" w:cs="Helvetica Neue Light"/>
          <w:b/>
          <w:bCs/>
          <w:sz w:val="32"/>
          <w:szCs w:val="32"/>
          <w:lang w:val="es-CL"/>
        </w:rPr>
      </w:pPr>
      <w:r>
        <w:rPr>
          <w:rFonts w:hint="default" w:ascii="Helvetica Neue Light" w:hAnsi="Helvetica Neue Light" w:eastAsia="Helvetica Neue Light" w:cs="Helvetica Neue Light"/>
          <w:b/>
          <w:bCs/>
          <w:sz w:val="32"/>
          <w:szCs w:val="32"/>
          <w:lang w:val="es-CL"/>
        </w:rPr>
        <w:t>SMMePLUS</w:t>
      </w:r>
    </w:p>
    <w:p>
      <w:pPr>
        <w:jc w:val="center"/>
        <w:rPr>
          <w:rFonts w:hint="default" w:ascii="Helvetica Neue Light" w:hAnsi="Helvetica Neue Light" w:eastAsia="Helvetica Neue Light" w:cs="Helvetica Neue Light"/>
          <w:sz w:val="32"/>
          <w:szCs w:val="32"/>
          <w:lang w:val="es-CL"/>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rPr>
          <w:rFonts w:ascii="Helvetica Neue Light" w:hAnsi="Helvetica Neue Light" w:eastAsia="Helvetica Neue Light" w:cs="Helvetica Neue Light"/>
        </w:rPr>
      </w:pPr>
    </w:p>
    <w:tbl>
      <w:tblPr>
        <w:tblStyle w:val="29"/>
        <w:tblW w:w="87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9" w:type="dxa"/>
          <w:left w:w="107" w:type="dxa"/>
          <w:bottom w:w="0" w:type="dxa"/>
          <w:right w:w="115" w:type="dxa"/>
        </w:tblCellMar>
      </w:tblPr>
      <w:tblGrid>
        <w:gridCol w:w="833"/>
        <w:gridCol w:w="1147"/>
        <w:gridCol w:w="1559"/>
        <w:gridCol w:w="52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784" w:type="dxa"/>
            <w:gridSpan w:val="4"/>
            <w:shd w:val="clear" w:color="auto" w:fill="D7D7D7"/>
          </w:tcPr>
          <w:p>
            <w:pPr>
              <w:spacing w:line="259" w:lineRule="auto"/>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Control de versiones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shd w:val="clear" w:color="auto" w:fill="D7D7D7"/>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Versión </w:t>
            </w:r>
          </w:p>
        </w:tc>
        <w:tc>
          <w:tcPr>
            <w:tcW w:w="1147"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Fecha </w:t>
            </w:r>
          </w:p>
        </w:tc>
        <w:tc>
          <w:tcPr>
            <w:tcW w:w="1559"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Autor </w:t>
            </w:r>
          </w:p>
        </w:tc>
        <w:tc>
          <w:tcPr>
            <w:tcW w:w="5245"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Descripción del cambio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tcPr>
          <w:p>
            <w:pPr>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A</w:t>
            </w:r>
          </w:p>
        </w:tc>
        <w:tc>
          <w:tcPr>
            <w:tcW w:w="1147" w:type="dxa"/>
          </w:tcPr>
          <w:p>
            <w:pPr>
              <w:ind w:left="1"/>
              <w:rPr>
                <w:rFonts w:hint="default" w:ascii="Helvetica Neue Light" w:hAnsi="Helvetica Neue Light" w:eastAsia="Helvetica Neue Light" w:cs="Helvetica Neue Light"/>
                <w:sz w:val="18"/>
                <w:szCs w:val="18"/>
                <w:lang w:val="es-CL"/>
              </w:rPr>
            </w:pPr>
            <w:r>
              <w:rPr>
                <w:rFonts w:hint="default" w:ascii="Helvetica Neue Light" w:hAnsi="Helvetica Neue Light" w:eastAsia="Helvetica Neue Light" w:cs="Helvetica Neue Light"/>
                <w:sz w:val="18"/>
                <w:szCs w:val="18"/>
                <w:lang w:val="es-CL"/>
              </w:rPr>
              <w:t>07</w:t>
            </w:r>
            <w:r>
              <w:rPr>
                <w:rFonts w:ascii="Helvetica Neue Light" w:hAnsi="Helvetica Neue Light" w:eastAsia="Helvetica Neue Light" w:cs="Helvetica Neue Light"/>
                <w:sz w:val="18"/>
                <w:szCs w:val="18"/>
              </w:rPr>
              <w:t>/</w:t>
            </w:r>
            <w:r>
              <w:rPr>
                <w:rFonts w:hint="default" w:ascii="Helvetica Neue Light" w:hAnsi="Helvetica Neue Light" w:eastAsia="Helvetica Neue Light" w:cs="Helvetica Neue Light"/>
                <w:sz w:val="18"/>
                <w:szCs w:val="18"/>
                <w:lang w:val="es-CL"/>
              </w:rPr>
              <w:t>10</w:t>
            </w:r>
            <w:r>
              <w:rPr>
                <w:rFonts w:ascii="Helvetica Neue Light" w:hAnsi="Helvetica Neue Light" w:eastAsia="Helvetica Neue Light" w:cs="Helvetica Neue Light"/>
                <w:sz w:val="18"/>
                <w:szCs w:val="18"/>
              </w:rPr>
              <w:t>/202</w:t>
            </w:r>
            <w:r>
              <w:rPr>
                <w:rFonts w:hint="default" w:ascii="Helvetica Neue Light" w:hAnsi="Helvetica Neue Light" w:eastAsia="Helvetica Neue Light" w:cs="Helvetica Neue Light"/>
                <w:sz w:val="18"/>
                <w:szCs w:val="18"/>
                <w:lang w:val="es-CL"/>
              </w:rPr>
              <w:t>1</w:t>
            </w:r>
          </w:p>
        </w:tc>
        <w:tc>
          <w:tcPr>
            <w:tcW w:w="1559" w:type="dxa"/>
          </w:tcPr>
          <w:p>
            <w:pPr>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Patricio Figueroa</w:t>
            </w:r>
          </w:p>
        </w:tc>
        <w:tc>
          <w:tcPr>
            <w:tcW w:w="5245" w:type="dxa"/>
          </w:tcPr>
          <w:p>
            <w:pPr>
              <w:ind w:left="1"/>
              <w:jc w:val="both"/>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Publicación Inicial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tcPr>
          <w:p>
            <w:pPr>
              <w:jc w:val="center"/>
              <w:rPr>
                <w:rFonts w:ascii="Helvetica Neue Light" w:hAnsi="Helvetica Neue Light" w:eastAsia="Helvetica Neue Light" w:cs="Helvetica Neue Light"/>
                <w:sz w:val="18"/>
                <w:szCs w:val="18"/>
              </w:rPr>
            </w:pPr>
          </w:p>
        </w:tc>
        <w:tc>
          <w:tcPr>
            <w:tcW w:w="1147" w:type="dxa"/>
          </w:tcPr>
          <w:p>
            <w:pPr>
              <w:rPr>
                <w:rFonts w:ascii="Helvetica Neue Light" w:hAnsi="Helvetica Neue Light" w:eastAsia="Helvetica Neue Light" w:cs="Helvetica Neue Light"/>
                <w:sz w:val="18"/>
                <w:szCs w:val="18"/>
              </w:rPr>
            </w:pPr>
          </w:p>
        </w:tc>
        <w:tc>
          <w:tcPr>
            <w:tcW w:w="1559" w:type="dxa"/>
          </w:tcPr>
          <w:p>
            <w:pPr>
              <w:ind w:left="1"/>
              <w:rPr>
                <w:rFonts w:ascii="Helvetica Neue Light" w:hAnsi="Helvetica Neue Light" w:eastAsia="Helvetica Neue Light" w:cs="Helvetica Neue Light"/>
                <w:sz w:val="18"/>
                <w:szCs w:val="18"/>
              </w:rPr>
            </w:pPr>
          </w:p>
        </w:tc>
        <w:tc>
          <w:tcPr>
            <w:tcW w:w="5245" w:type="dxa"/>
          </w:tcPr>
          <w:p>
            <w:pPr>
              <w:ind w:left="1"/>
              <w:jc w:val="both"/>
              <w:rPr>
                <w:rFonts w:ascii="Helvetica Neue Light" w:hAnsi="Helvetica Neue Light" w:eastAsia="Helvetica Neue Light" w:cs="Helvetica Neue Light"/>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tcPr>
          <w:p>
            <w:pPr>
              <w:jc w:val="center"/>
              <w:rPr>
                <w:rFonts w:ascii="Helvetica Neue Light" w:hAnsi="Helvetica Neue Light" w:eastAsia="Helvetica Neue Light" w:cs="Helvetica Neue Light"/>
                <w:sz w:val="18"/>
                <w:szCs w:val="18"/>
              </w:rPr>
            </w:pPr>
          </w:p>
        </w:tc>
        <w:tc>
          <w:tcPr>
            <w:tcW w:w="1147" w:type="dxa"/>
          </w:tcPr>
          <w:p>
            <w:pPr>
              <w:rPr>
                <w:rFonts w:ascii="Helvetica Neue Light" w:hAnsi="Helvetica Neue Light" w:eastAsia="Helvetica Neue Light" w:cs="Helvetica Neue Light"/>
                <w:sz w:val="18"/>
                <w:szCs w:val="18"/>
              </w:rPr>
            </w:pPr>
          </w:p>
        </w:tc>
        <w:tc>
          <w:tcPr>
            <w:tcW w:w="1559" w:type="dxa"/>
          </w:tcPr>
          <w:p>
            <w:pPr>
              <w:ind w:left="1"/>
              <w:rPr>
                <w:rFonts w:ascii="Helvetica Neue Light" w:hAnsi="Helvetica Neue Light" w:eastAsia="Helvetica Neue Light" w:cs="Helvetica Neue Light"/>
                <w:sz w:val="18"/>
                <w:szCs w:val="18"/>
              </w:rPr>
            </w:pPr>
          </w:p>
        </w:tc>
        <w:tc>
          <w:tcPr>
            <w:tcW w:w="5245" w:type="dxa"/>
          </w:tcPr>
          <w:p>
            <w:pPr>
              <w:ind w:left="1"/>
              <w:jc w:val="both"/>
              <w:rPr>
                <w:rFonts w:ascii="Helvetica Neue Light" w:hAnsi="Helvetica Neue Light" w:eastAsia="Helvetica Neue Light" w:cs="Helvetica Neue Light"/>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tcPr>
          <w:p>
            <w:pPr>
              <w:jc w:val="center"/>
              <w:rPr>
                <w:rFonts w:ascii="Helvetica Neue Light" w:hAnsi="Helvetica Neue Light" w:eastAsia="Helvetica Neue Light" w:cs="Helvetica Neue Light"/>
                <w:sz w:val="18"/>
                <w:szCs w:val="18"/>
              </w:rPr>
            </w:pPr>
          </w:p>
        </w:tc>
        <w:tc>
          <w:tcPr>
            <w:tcW w:w="1147" w:type="dxa"/>
          </w:tcPr>
          <w:p>
            <w:pPr>
              <w:rPr>
                <w:rFonts w:ascii="Helvetica Neue Light" w:hAnsi="Helvetica Neue Light" w:eastAsia="Helvetica Neue Light" w:cs="Helvetica Neue Light"/>
                <w:sz w:val="18"/>
                <w:szCs w:val="18"/>
              </w:rPr>
            </w:pPr>
          </w:p>
        </w:tc>
        <w:tc>
          <w:tcPr>
            <w:tcW w:w="1559" w:type="dxa"/>
          </w:tcPr>
          <w:p>
            <w:pPr>
              <w:ind w:left="1"/>
              <w:rPr>
                <w:rFonts w:ascii="Helvetica Neue Light" w:hAnsi="Helvetica Neue Light" w:eastAsia="Helvetica Neue Light" w:cs="Helvetica Neue Light"/>
                <w:sz w:val="18"/>
                <w:szCs w:val="18"/>
              </w:rPr>
            </w:pPr>
          </w:p>
        </w:tc>
        <w:tc>
          <w:tcPr>
            <w:tcW w:w="5245" w:type="dxa"/>
          </w:tcPr>
          <w:p>
            <w:pPr>
              <w:ind w:left="1"/>
              <w:jc w:val="both"/>
              <w:rPr>
                <w:rFonts w:ascii="Helvetica Neue Light" w:hAnsi="Helvetica Neue Light" w:eastAsia="Helvetica Neue Light" w:cs="Helvetica Neue Light"/>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tcPr>
          <w:p>
            <w:pPr>
              <w:jc w:val="center"/>
              <w:rPr>
                <w:rFonts w:ascii="Helvetica Neue Light" w:hAnsi="Helvetica Neue Light" w:eastAsia="Helvetica Neue Light" w:cs="Helvetica Neue Light"/>
                <w:sz w:val="18"/>
                <w:szCs w:val="18"/>
              </w:rPr>
            </w:pPr>
          </w:p>
        </w:tc>
        <w:tc>
          <w:tcPr>
            <w:tcW w:w="1147" w:type="dxa"/>
          </w:tcPr>
          <w:p>
            <w:pPr>
              <w:rPr>
                <w:rFonts w:ascii="Helvetica Neue Light" w:hAnsi="Helvetica Neue Light" w:eastAsia="Helvetica Neue Light" w:cs="Helvetica Neue Light"/>
                <w:sz w:val="18"/>
                <w:szCs w:val="18"/>
              </w:rPr>
            </w:pPr>
          </w:p>
        </w:tc>
        <w:tc>
          <w:tcPr>
            <w:tcW w:w="1559" w:type="dxa"/>
          </w:tcPr>
          <w:p>
            <w:pPr>
              <w:ind w:left="1"/>
              <w:rPr>
                <w:rFonts w:ascii="Helvetica Neue Light" w:hAnsi="Helvetica Neue Light" w:eastAsia="Helvetica Neue Light" w:cs="Helvetica Neue Light"/>
                <w:sz w:val="18"/>
                <w:szCs w:val="18"/>
              </w:rPr>
            </w:pPr>
          </w:p>
        </w:tc>
        <w:tc>
          <w:tcPr>
            <w:tcW w:w="5245" w:type="dxa"/>
          </w:tcPr>
          <w:p>
            <w:pPr>
              <w:jc w:val="both"/>
              <w:rPr>
                <w:rFonts w:ascii="Helvetica Neue Light" w:hAnsi="Helvetica Neue Light" w:eastAsia="Helvetica Neue Light" w:cs="Helvetica Neue Light"/>
                <w:b/>
                <w:sz w:val="20"/>
                <w:szCs w:val="20"/>
              </w:rPr>
            </w:pPr>
          </w:p>
        </w:tc>
      </w:tr>
    </w:tbl>
    <w:p>
      <w:pPr>
        <w:spacing w:line="360" w:lineRule="auto"/>
        <w:jc w:val="both"/>
        <w:rPr>
          <w:rFonts w:ascii="Helvetica Neue Light" w:hAnsi="Helvetica Neue Light" w:eastAsia="Helvetica Neue Light" w:cs="Helvetica Neue Light"/>
          <w:b/>
          <w:sz w:val="20"/>
          <w:szCs w:val="20"/>
        </w:rPr>
      </w:pPr>
      <w:r>
        <w:rPr>
          <w:rFonts w:ascii="Helvetica Neue Light" w:hAnsi="Helvetica Neue Light" w:eastAsia="Helvetica Neue Light" w:cs="Helvetica Neue Light"/>
          <w:b/>
          <w:sz w:val="20"/>
          <w:szCs w:val="20"/>
        </w:rPr>
        <w:t>Resumen</w:t>
      </w:r>
    </w:p>
    <w:p>
      <w:pPr>
        <w:spacing w:line="360" w:lineRule="auto"/>
        <w:jc w:val="both"/>
        <w:rPr>
          <w:rFonts w:ascii="Helvetica Neue Light" w:hAnsi="Helvetica Neue Light" w:eastAsia="Helvetica Neue Light" w:cs="Helvetica Neue Light"/>
          <w:sz w:val="20"/>
          <w:szCs w:val="20"/>
        </w:rPr>
      </w:pPr>
    </w:p>
    <w:p>
      <w:pPr>
        <w:spacing w:line="360" w:lineRule="auto"/>
        <w:jc w:val="both"/>
        <w:rPr>
          <w:rFonts w:hint="default"/>
          <w:sz w:val="20"/>
          <w:szCs w:val="20"/>
          <w:lang w:val="es-CL"/>
        </w:rPr>
      </w:pPr>
      <w:r>
        <w:rPr>
          <w:sz w:val="20"/>
          <w:szCs w:val="20"/>
        </w:rPr>
        <w:t xml:space="preserve">El presente documento tiene como objetivo </w:t>
      </w:r>
      <w:r>
        <w:rPr>
          <w:rFonts w:hint="default"/>
          <w:sz w:val="20"/>
          <w:szCs w:val="20"/>
          <w:lang w:val="es-CL"/>
        </w:rPr>
        <w:t xml:space="preserve">documentar características funcionales del SMMePLUS para dar cumplimiento a los requerimientos del Anexo Técnico. Estas funciones a describir son: </w:t>
      </w:r>
    </w:p>
    <w:p>
      <w:pPr>
        <w:spacing w:line="360" w:lineRule="auto"/>
        <w:jc w:val="both"/>
        <w:rPr>
          <w:rFonts w:hint="default"/>
          <w:sz w:val="20"/>
          <w:szCs w:val="20"/>
          <w:lang w:val="es-CL"/>
        </w:rPr>
      </w:pPr>
    </w:p>
    <w:p>
      <w:pPr>
        <w:spacing w:line="360" w:lineRule="auto"/>
        <w:jc w:val="both"/>
        <w:rPr>
          <w:rFonts w:hint="default"/>
          <w:sz w:val="20"/>
          <w:szCs w:val="20"/>
          <w:lang w:val="es-CL"/>
        </w:rPr>
      </w:pPr>
      <w:r>
        <w:rPr>
          <w:rFonts w:hint="default"/>
          <w:sz w:val="20"/>
          <w:szCs w:val="20"/>
          <w:lang w:val="es-CL"/>
        </w:rPr>
        <w:t>- Configuración Horaria.</w:t>
      </w:r>
    </w:p>
    <w:p>
      <w:pPr>
        <w:spacing w:line="360" w:lineRule="auto"/>
        <w:jc w:val="both"/>
        <w:rPr>
          <w:rFonts w:hint="default"/>
          <w:sz w:val="20"/>
          <w:szCs w:val="20"/>
          <w:lang w:val="es-CL"/>
        </w:rPr>
      </w:pPr>
      <w:r>
        <w:rPr>
          <w:rFonts w:hint="default"/>
          <w:sz w:val="20"/>
          <w:szCs w:val="20"/>
          <w:lang w:val="es-CL"/>
        </w:rPr>
        <w:t>- Estampa de tiempo.</w:t>
      </w:r>
    </w:p>
    <w:p>
      <w:pPr>
        <w:spacing w:line="360" w:lineRule="auto"/>
        <w:jc w:val="both"/>
        <w:rPr>
          <w:rFonts w:hint="default"/>
          <w:sz w:val="20"/>
          <w:szCs w:val="20"/>
          <w:lang w:val="es-CL"/>
        </w:rPr>
      </w:pPr>
      <w:r>
        <w:rPr>
          <w:rFonts w:hint="default"/>
          <w:sz w:val="20"/>
          <w:szCs w:val="20"/>
          <w:lang w:val="es-CL"/>
        </w:rPr>
        <w:t xml:space="preserve">- Georefencia unidad de medida y unidad concentradora. </w:t>
      </w:r>
    </w:p>
    <w:p>
      <w:pPr>
        <w:spacing w:line="360" w:lineRule="auto"/>
        <w:jc w:val="both"/>
        <w:rPr>
          <w:rFonts w:hint="default"/>
          <w:sz w:val="20"/>
          <w:szCs w:val="20"/>
          <w:lang w:val="es-CL"/>
        </w:rPr>
      </w:pPr>
      <w:r>
        <w:rPr>
          <w:rFonts w:hint="default"/>
          <w:sz w:val="20"/>
          <w:szCs w:val="20"/>
          <w:lang w:val="es-CL"/>
        </w:rPr>
        <w:t>- Perfiles de Energías .</w:t>
      </w:r>
    </w:p>
    <w:p>
      <w:pPr>
        <w:spacing w:line="360" w:lineRule="auto"/>
        <w:jc w:val="both"/>
        <w:rPr>
          <w:rFonts w:ascii="Helvetica Neue Light" w:hAnsi="Helvetica Neue Light" w:eastAsia="Helvetica Neue Light" w:cs="Helvetica Neue Light"/>
          <w:b/>
          <w:sz w:val="20"/>
          <w:szCs w:val="20"/>
        </w:rPr>
      </w:pPr>
    </w:p>
    <w:p>
      <w:pPr>
        <w:spacing w:line="360" w:lineRule="auto"/>
        <w:jc w:val="both"/>
        <w:rPr>
          <w:rFonts w:hint="default" w:ascii="Helvetica Neue Light" w:hAnsi="Helvetica Neue Light" w:eastAsia="Helvetica Neue Light" w:cs="Helvetica Neue Light"/>
          <w:b/>
          <w:sz w:val="20"/>
          <w:szCs w:val="20"/>
          <w:lang w:val="es-CL"/>
        </w:rPr>
      </w:pPr>
      <w:r>
        <w:rPr>
          <w:rFonts w:ascii="Helvetica Neue Light" w:hAnsi="Helvetica Neue Light" w:eastAsia="Helvetica Neue Light" w:cs="Helvetica Neue Light"/>
          <w:b/>
          <w:sz w:val="20"/>
          <w:szCs w:val="20"/>
        </w:rPr>
        <w:t>Descripción</w:t>
      </w:r>
      <w:r>
        <w:rPr>
          <w:rFonts w:hint="default" w:ascii="Helvetica Neue Light" w:hAnsi="Helvetica Neue Light" w:eastAsia="Helvetica Neue Light" w:cs="Helvetica Neue Light"/>
          <w:b/>
          <w:sz w:val="20"/>
          <w:szCs w:val="20"/>
          <w:lang w:val="es-CL"/>
        </w:rPr>
        <w:t xml:space="preserve"> Configuración Horaria</w:t>
      </w:r>
    </w:p>
    <w:p>
      <w:pPr>
        <w:spacing w:line="360" w:lineRule="auto"/>
        <w:jc w:val="both"/>
        <w:rPr>
          <w:rFonts w:hint="default" w:ascii="Helvetica Neue Light" w:hAnsi="Helvetica Neue Light" w:eastAsia="Helvetica Neue Light" w:cs="Helvetica Neue Light"/>
          <w:b/>
          <w:sz w:val="20"/>
          <w:szCs w:val="20"/>
          <w:lang w:val="es-CL"/>
        </w:rPr>
      </w:pPr>
    </w:p>
    <w:p>
      <w:pPr>
        <w:spacing w:line="360" w:lineRule="auto"/>
        <w:jc w:val="both"/>
        <w:rPr>
          <w:rFonts w:hint="default"/>
          <w:sz w:val="20"/>
          <w:szCs w:val="20"/>
          <w:lang w:val="es-CL"/>
        </w:rPr>
      </w:pPr>
      <w:r>
        <w:rPr>
          <w:rFonts w:hint="default"/>
          <w:sz w:val="20"/>
          <w:szCs w:val="20"/>
          <w:lang w:val="es-CL"/>
        </w:rPr>
        <w:t>Tomando como referencia el documento “</w:t>
      </w:r>
      <w:r>
        <w:rPr>
          <w:rFonts w:hint="default"/>
          <w:b/>
          <w:bCs/>
          <w:sz w:val="20"/>
          <w:szCs w:val="20"/>
          <w:lang w:val="es-CL"/>
        </w:rPr>
        <w:t>2.SMMePlus - Homologation v.1.6_Final</w:t>
      </w:r>
      <w:r>
        <w:rPr>
          <w:rFonts w:hint="default"/>
          <w:sz w:val="20"/>
          <w:szCs w:val="20"/>
          <w:lang w:val="es-CL"/>
        </w:rPr>
        <w:t xml:space="preserve">”, se describe a continuación la sincronización horaria del sistema SMMePlus. </w:t>
      </w:r>
    </w:p>
    <w:p>
      <w:pPr>
        <w:spacing w:line="360" w:lineRule="auto"/>
        <w:jc w:val="both"/>
        <w:rPr>
          <w:rFonts w:hint="default"/>
          <w:sz w:val="20"/>
          <w:szCs w:val="20"/>
          <w:lang w:val="es-CL"/>
        </w:rPr>
      </w:pPr>
      <w:r>
        <w:rPr>
          <w:rFonts w:hint="default"/>
          <w:sz w:val="20"/>
          <w:szCs w:val="20"/>
          <w:lang w:val="es-CL"/>
        </w:rPr>
        <w:t>Los servidores que albergan los servicios del sistema no están configurados con la hora local. Los servidores están configurados con hora UTC</w:t>
      </w:r>
      <w:r>
        <w:rPr>
          <w:rFonts w:hint="default"/>
          <w:b w:val="0"/>
          <w:bCs w:val="0"/>
          <w:sz w:val="20"/>
          <w:szCs w:val="20"/>
          <w:lang w:val="es-CL"/>
        </w:rPr>
        <w:t xml:space="preserve"> (UTC-0)</w:t>
      </w:r>
      <w:r>
        <w:rPr>
          <w:rFonts w:hint="default"/>
          <w:b/>
          <w:bCs/>
          <w:sz w:val="20"/>
          <w:szCs w:val="20"/>
          <w:lang w:val="es-CL"/>
        </w:rPr>
        <w:t xml:space="preserve"> </w:t>
      </w:r>
      <w:r>
        <w:rPr>
          <w:rFonts w:hint="default"/>
          <w:sz w:val="20"/>
          <w:szCs w:val="20"/>
          <w:lang w:val="es-CL"/>
        </w:rPr>
        <w:t xml:space="preserve">y el sistema se encarga de la conversión de UTC a hora local antes de ejecutar la actividad de sincronización, que para el caso de Chile, </w:t>
      </w:r>
      <w:r>
        <w:rPr>
          <w:rFonts w:hint="default"/>
          <w:b w:val="0"/>
          <w:bCs w:val="0"/>
          <w:sz w:val="20"/>
          <w:szCs w:val="20"/>
          <w:lang w:val="es-CL"/>
        </w:rPr>
        <w:t>UTC-4</w:t>
      </w:r>
      <w:r>
        <w:rPr>
          <w:rFonts w:hint="default"/>
          <w:sz w:val="20"/>
          <w:szCs w:val="20"/>
          <w:lang w:val="es-CL"/>
        </w:rPr>
        <w:t>.</w:t>
      </w:r>
    </w:p>
    <w:p>
      <w:pPr>
        <w:spacing w:line="360" w:lineRule="auto"/>
        <w:jc w:val="both"/>
        <w:rPr>
          <w:rFonts w:hint="default"/>
          <w:sz w:val="20"/>
          <w:szCs w:val="20"/>
          <w:lang w:val="es-CL"/>
        </w:rPr>
      </w:pPr>
      <w:r>
        <w:rPr>
          <w:rFonts w:hint="default"/>
          <w:sz w:val="20"/>
          <w:szCs w:val="20"/>
          <w:lang w:val="es-CL"/>
        </w:rPr>
        <w:t xml:space="preserve">El </w:t>
      </w:r>
      <w:r>
        <w:rPr>
          <w:rFonts w:hint="default"/>
          <w:b/>
          <w:bCs/>
          <w:sz w:val="20"/>
          <w:szCs w:val="20"/>
          <w:lang w:val="es-CL"/>
        </w:rPr>
        <w:t>p</w:t>
      </w:r>
      <w:r>
        <w:rPr>
          <w:rFonts w:hint="default"/>
          <w:b/>
          <w:bCs/>
          <w:sz w:val="20"/>
          <w:szCs w:val="20"/>
          <w:lang w:val="es-CL"/>
        </w:rPr>
        <w:t xml:space="preserve">rotocolo NTP </w:t>
      </w:r>
      <w:r>
        <w:rPr>
          <w:rFonts w:hint="default"/>
          <w:sz w:val="20"/>
          <w:szCs w:val="20"/>
          <w:lang w:val="es-CL"/>
        </w:rPr>
        <w:t>es utilizado por el servicio "</w:t>
      </w:r>
      <w:r>
        <w:rPr>
          <w:rFonts w:hint="default"/>
          <w:b/>
          <w:bCs/>
          <w:sz w:val="20"/>
          <w:szCs w:val="20"/>
          <w:lang w:val="es-CL"/>
        </w:rPr>
        <w:t>Windows Time</w:t>
      </w:r>
      <w:r>
        <w:rPr>
          <w:rFonts w:hint="default"/>
          <w:sz w:val="20"/>
          <w:szCs w:val="20"/>
          <w:lang w:val="es-CL"/>
        </w:rPr>
        <w:t>" que se ejecuta en cada servidor SMMePlus y mantiene la sincronización de fecha y hora.</w:t>
      </w:r>
    </w:p>
    <w:p>
      <w:pPr>
        <w:spacing w:line="360" w:lineRule="auto"/>
        <w:jc w:val="both"/>
        <w:rPr>
          <w:rFonts w:hint="default"/>
          <w:sz w:val="20"/>
          <w:szCs w:val="20"/>
          <w:lang w:val="es-CL"/>
        </w:rPr>
      </w:pPr>
    </w:p>
    <w:p>
      <w:pPr>
        <w:spacing w:line="360" w:lineRule="auto"/>
        <w:jc w:val="both"/>
        <w:rPr>
          <w:rFonts w:hint="default"/>
          <w:sz w:val="20"/>
          <w:szCs w:val="20"/>
          <w:lang w:val="es-CL"/>
        </w:rPr>
      </w:pPr>
      <w:r>
        <w:rPr>
          <w:rFonts w:hint="default"/>
          <w:sz w:val="20"/>
          <w:szCs w:val="20"/>
          <w:lang w:val="es-CL"/>
        </w:rPr>
        <w:t>La arquitectura de Sincronización es la siguiente:</w:t>
      </w:r>
    </w:p>
    <w:p>
      <w:pPr>
        <w:jc w:val="both"/>
      </w:pPr>
      <w:r>
        <w:drawing>
          <wp:inline distT="0" distB="0" distL="114300" distR="114300">
            <wp:extent cx="5602605" cy="1446530"/>
            <wp:effectExtent l="0" t="0" r="17145" b="1270"/>
            <wp:docPr id="9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55"/>
                    <pic:cNvPicPr>
                      <a:picLocks noChangeAspect="1"/>
                    </pic:cNvPicPr>
                  </pic:nvPicPr>
                  <pic:blipFill>
                    <a:blip r:embed="rId10"/>
                    <a:stretch>
                      <a:fillRect/>
                    </a:stretch>
                  </pic:blipFill>
                  <pic:spPr>
                    <a:xfrm>
                      <a:off x="0" y="0"/>
                      <a:ext cx="5602605" cy="1446530"/>
                    </a:xfrm>
                    <a:prstGeom prst="rect">
                      <a:avLst/>
                    </a:prstGeom>
                    <a:noFill/>
                    <a:ln>
                      <a:noFill/>
                    </a:ln>
                  </pic:spPr>
                </pic:pic>
              </a:graphicData>
            </a:graphic>
          </wp:inline>
        </w:drawing>
      </w:r>
    </w:p>
    <w:p>
      <w:pPr>
        <w:jc w:val="both"/>
        <w:rPr>
          <w:lang w:val="en-US"/>
        </w:rPr>
      </w:pPr>
    </w:p>
    <w:p>
      <w:pPr>
        <w:spacing w:line="360" w:lineRule="auto"/>
        <w:jc w:val="both"/>
        <w:rPr>
          <w:rFonts w:hint="default"/>
          <w:sz w:val="20"/>
          <w:szCs w:val="20"/>
          <w:lang w:val="en-US"/>
        </w:rPr>
      </w:pPr>
      <w:r>
        <w:rPr>
          <w:rFonts w:hint="default"/>
          <w:sz w:val="20"/>
          <w:szCs w:val="20"/>
          <w:lang w:val="en-US"/>
        </w:rPr>
        <w:t>En la base de datos</w:t>
      </w:r>
      <w:r>
        <w:rPr>
          <w:rFonts w:hint="default"/>
          <w:sz w:val="20"/>
          <w:szCs w:val="20"/>
          <w:lang w:val="es-CL"/>
        </w:rPr>
        <w:t xml:space="preserve"> central</w:t>
      </w:r>
      <w:r>
        <w:rPr>
          <w:rFonts w:hint="default"/>
          <w:sz w:val="20"/>
          <w:szCs w:val="20"/>
          <w:lang w:val="en-US"/>
        </w:rPr>
        <w:t xml:space="preserve"> del sistema, dos tablas se encargan de almacenar los valores de la zona horaria:</w:t>
      </w:r>
    </w:p>
    <w:p>
      <w:pPr>
        <w:numPr>
          <w:ilvl w:val="0"/>
          <w:numId w:val="1"/>
        </w:numPr>
        <w:spacing w:line="360" w:lineRule="auto"/>
        <w:ind w:left="425" w:leftChars="0" w:hanging="425" w:firstLineChars="0"/>
        <w:jc w:val="both"/>
        <w:rPr>
          <w:rFonts w:hint="default"/>
          <w:sz w:val="20"/>
          <w:szCs w:val="20"/>
          <w:lang w:val="en-US" w:eastAsia="it-IT"/>
        </w:rPr>
      </w:pPr>
      <w:r>
        <w:rPr>
          <w:rFonts w:hint="default"/>
          <w:sz w:val="20"/>
          <w:szCs w:val="20"/>
          <w:lang w:val="en-US" w:eastAsia="it-IT"/>
        </w:rPr>
        <w:t>Timezone table.</w:t>
      </w:r>
    </w:p>
    <w:p>
      <w:pPr>
        <w:numPr>
          <w:ilvl w:val="0"/>
          <w:numId w:val="1"/>
        </w:numPr>
        <w:spacing w:line="360" w:lineRule="auto"/>
        <w:ind w:left="425" w:leftChars="0" w:hanging="425" w:firstLineChars="0"/>
        <w:jc w:val="both"/>
        <w:rPr>
          <w:rFonts w:hint="default"/>
          <w:sz w:val="20"/>
          <w:szCs w:val="20"/>
          <w:lang w:val="en-US" w:eastAsia="it-IT"/>
        </w:rPr>
      </w:pPr>
      <w:r>
        <w:rPr>
          <w:rFonts w:hint="default"/>
          <w:sz w:val="20"/>
          <w:szCs w:val="20"/>
          <w:lang w:val="en-US" w:eastAsia="it-IT"/>
        </w:rPr>
        <w:t>Daylight Saving Time table.</w:t>
      </w:r>
    </w:p>
    <w:p>
      <w:pPr>
        <w:spacing w:line="360" w:lineRule="auto"/>
        <w:jc w:val="both"/>
        <w:rPr>
          <w:rFonts w:hint="default"/>
          <w:sz w:val="20"/>
          <w:szCs w:val="20"/>
          <w:lang w:val="es-CL"/>
        </w:rPr>
      </w:pPr>
      <w:r>
        <w:rPr>
          <w:rFonts w:hint="default"/>
          <w:sz w:val="20"/>
          <w:szCs w:val="20"/>
          <w:u w:val="single"/>
          <w:lang w:val="es-CL"/>
        </w:rPr>
        <w:t>Sincronización Unidad de Medida</w:t>
      </w:r>
      <w:r>
        <w:rPr>
          <w:rFonts w:hint="default"/>
          <w:sz w:val="20"/>
          <w:szCs w:val="20"/>
          <w:lang w:val="es-CL"/>
        </w:rPr>
        <w:t xml:space="preserve">: </w:t>
      </w:r>
    </w:p>
    <w:p>
      <w:pPr>
        <w:spacing w:line="360" w:lineRule="auto"/>
        <w:jc w:val="both"/>
        <w:rPr>
          <w:rFonts w:hint="default"/>
          <w:sz w:val="20"/>
          <w:szCs w:val="20"/>
          <w:lang w:val="es-CL"/>
        </w:rPr>
      </w:pPr>
      <w:r>
        <w:rPr>
          <w:rFonts w:hint="default"/>
          <w:sz w:val="20"/>
          <w:szCs w:val="20"/>
          <w:lang w:val="es-CL"/>
        </w:rPr>
        <w:t>Cuando un medidor es reclutado por un concentrador, el concentrador está a cargo de la sincronización del medidor. Además, el sistema brinda la posibilidad de forzar al concentrador a sincronizar el medidor usando el propio reloj del concentrador.</w:t>
      </w:r>
    </w:p>
    <w:p>
      <w:pPr>
        <w:spacing w:line="360" w:lineRule="auto"/>
        <w:jc w:val="both"/>
        <w:rPr>
          <w:rFonts w:hint="default"/>
          <w:sz w:val="20"/>
          <w:szCs w:val="20"/>
          <w:lang w:val="es-CL"/>
        </w:rPr>
      </w:pPr>
      <w:r>
        <w:rPr>
          <w:rFonts w:hint="default"/>
          <w:sz w:val="20"/>
          <w:szCs w:val="20"/>
          <w:lang w:val="es-CL"/>
        </w:rPr>
        <w:t>Esta orden de trabajo en las unidades de medida se denomina "Meter Synchronization" y se puede generar de dos maneras:</w:t>
      </w:r>
    </w:p>
    <w:p>
      <w:pPr>
        <w:numPr>
          <w:ilvl w:val="0"/>
          <w:numId w:val="2"/>
        </w:numPr>
        <w:spacing w:line="360" w:lineRule="auto"/>
        <w:ind w:left="420" w:leftChars="0"/>
        <w:jc w:val="both"/>
        <w:rPr>
          <w:rFonts w:hint="default"/>
          <w:sz w:val="20"/>
          <w:szCs w:val="20"/>
          <w:lang w:val="es-CL" w:eastAsia="it-IT"/>
        </w:rPr>
      </w:pPr>
      <w:r>
        <w:rPr>
          <w:rFonts w:hint="default"/>
          <w:sz w:val="20"/>
          <w:szCs w:val="20"/>
          <w:lang w:val="es-CL"/>
        </w:rPr>
        <w:t>El usuario, a través del sitio web, genera manualmente la actividad.</w:t>
      </w:r>
    </w:p>
    <w:p>
      <w:pPr>
        <w:numPr>
          <w:ilvl w:val="0"/>
          <w:numId w:val="2"/>
        </w:numPr>
        <w:spacing w:line="360" w:lineRule="auto"/>
        <w:ind w:left="420" w:leftChars="0"/>
        <w:jc w:val="both"/>
        <w:rPr>
          <w:rFonts w:hint="default"/>
          <w:sz w:val="20"/>
          <w:szCs w:val="20"/>
          <w:lang w:val="es-CL" w:eastAsia="it-IT"/>
        </w:rPr>
      </w:pPr>
      <w:r>
        <w:rPr>
          <w:rFonts w:hint="default"/>
          <w:sz w:val="20"/>
          <w:szCs w:val="20"/>
          <w:lang w:val="es-CL"/>
        </w:rPr>
        <w:t>El sistema recibe una alarma específica de reloj no sincronizado y genera automáticamente la actividad (esta función se puede habilitar o deshabilitar).</w:t>
      </w:r>
    </w:p>
    <w:p>
      <w:pPr>
        <w:numPr>
          <w:numId w:val="0"/>
        </w:numPr>
        <w:spacing w:line="360" w:lineRule="auto"/>
        <w:jc w:val="both"/>
        <w:rPr>
          <w:rFonts w:hint="default"/>
          <w:sz w:val="20"/>
          <w:szCs w:val="20"/>
          <w:lang w:val="es-CL" w:eastAsia="it-IT"/>
        </w:rPr>
      </w:pPr>
    </w:p>
    <w:p>
      <w:pPr>
        <w:numPr>
          <w:numId w:val="0"/>
        </w:numPr>
        <w:spacing w:line="360" w:lineRule="auto"/>
        <w:jc w:val="both"/>
        <w:rPr>
          <w:rFonts w:hint="default"/>
          <w:sz w:val="20"/>
          <w:szCs w:val="20"/>
          <w:lang w:val="es-CL" w:eastAsia="it-IT"/>
        </w:rPr>
      </w:pPr>
      <w:r>
        <w:rPr>
          <w:rFonts w:hint="default"/>
          <w:sz w:val="20"/>
          <w:szCs w:val="20"/>
          <w:lang w:val="es-CL"/>
        </w:rPr>
        <w:t>Este flujo se describe en el siguiente esquema:</w:t>
      </w:r>
    </w:p>
    <w:p>
      <w:pPr>
        <w:jc w:val="both"/>
        <w:rPr>
          <w:rFonts w:asciiTheme="minorHAnsi" w:hAnsiTheme="minorHAnsi"/>
          <w:lang w:val="en-US"/>
        </w:rPr>
      </w:pPr>
    </w:p>
    <w:p>
      <w:pPr>
        <w:jc w:val="both"/>
        <w:rPr>
          <w:rFonts w:asciiTheme="minorHAnsi" w:hAnsiTheme="minorHAnsi"/>
          <w:lang w:val="en-US"/>
        </w:rPr>
      </w:pPr>
      <w:r>
        <w:rPr>
          <w:rFonts w:asciiTheme="minorHAnsi" w:hAnsiTheme="minorHAnsi"/>
          <w:lang w:val="es-CL" w:eastAsia="es-CL"/>
        </w:rPr>
        <w:drawing>
          <wp:inline distT="0" distB="0" distL="0" distR="0">
            <wp:extent cx="4785995" cy="3799840"/>
            <wp:effectExtent l="0" t="0" r="14605" b="1016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785995" cy="3799840"/>
                    </a:xfrm>
                    <a:prstGeom prst="rect">
                      <a:avLst/>
                    </a:prstGeom>
                    <a:noFill/>
                  </pic:spPr>
                </pic:pic>
              </a:graphicData>
            </a:graphic>
          </wp:inline>
        </w:drawing>
      </w:r>
    </w:p>
    <w:p>
      <w:pPr>
        <w:jc w:val="both"/>
        <w:rPr>
          <w:rFonts w:asciiTheme="minorHAnsi" w:hAnsiTheme="minorHAnsi"/>
          <w:lang w:val="en-US"/>
        </w:rPr>
      </w:pPr>
    </w:p>
    <w:p>
      <w:pPr>
        <w:numPr>
          <w:numId w:val="0"/>
        </w:numPr>
        <w:spacing w:line="360" w:lineRule="auto"/>
        <w:jc w:val="both"/>
        <w:rPr>
          <w:rFonts w:hint="default"/>
          <w:sz w:val="20"/>
          <w:szCs w:val="20"/>
          <w:lang w:val="es-CL"/>
        </w:rPr>
      </w:pPr>
      <w:r>
        <w:rPr>
          <w:rFonts w:hint="default"/>
          <w:sz w:val="20"/>
          <w:szCs w:val="20"/>
          <w:lang w:val="es-CL"/>
        </w:rPr>
        <w:t>La sincronización manual se puede realizar de manera masiva, ingresando un archivo .csv o individualmente por unidad de medida.</w:t>
      </w:r>
    </w:p>
    <w:p>
      <w:pPr>
        <w:numPr>
          <w:numId w:val="0"/>
        </w:numPr>
        <w:spacing w:line="360" w:lineRule="auto"/>
        <w:jc w:val="both"/>
      </w:pPr>
      <w:r>
        <w:drawing>
          <wp:inline distT="0" distB="0" distL="114300" distR="114300">
            <wp:extent cx="3557270" cy="3427730"/>
            <wp:effectExtent l="0" t="0" r="5080" b="1270"/>
            <wp:docPr id="93"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56"/>
                    <pic:cNvPicPr>
                      <a:picLocks noChangeAspect="1"/>
                    </pic:cNvPicPr>
                  </pic:nvPicPr>
                  <pic:blipFill>
                    <a:blip r:embed="rId12"/>
                    <a:stretch>
                      <a:fillRect/>
                    </a:stretch>
                  </pic:blipFill>
                  <pic:spPr>
                    <a:xfrm>
                      <a:off x="0" y="0"/>
                      <a:ext cx="3557270" cy="3427730"/>
                    </a:xfrm>
                    <a:prstGeom prst="rect">
                      <a:avLst/>
                    </a:prstGeom>
                    <a:noFill/>
                    <a:ln>
                      <a:noFill/>
                    </a:ln>
                  </pic:spPr>
                </pic:pic>
              </a:graphicData>
            </a:graphic>
          </wp:inline>
        </w:drawing>
      </w:r>
    </w:p>
    <w:p>
      <w:pPr>
        <w:numPr>
          <w:ilvl w:val="0"/>
          <w:numId w:val="0"/>
        </w:numPr>
        <w:spacing w:line="360" w:lineRule="auto"/>
        <w:jc w:val="both"/>
        <w:rPr>
          <w:rFonts w:hint="default"/>
          <w:sz w:val="20"/>
          <w:szCs w:val="20"/>
          <w:lang w:val="es-CL"/>
        </w:rPr>
      </w:pPr>
      <w:r>
        <w:rPr>
          <w:rFonts w:hint="default"/>
          <w:sz w:val="20"/>
          <w:szCs w:val="20"/>
          <w:lang w:val="es-CL"/>
        </w:rPr>
        <w:t xml:space="preserve">El resultado de la actividad manual de sincronización se puede visualizar a través de un reporte el cual se muestra a continuación. </w:t>
      </w:r>
    </w:p>
    <w:p>
      <w:pPr>
        <w:numPr>
          <w:ilvl w:val="0"/>
          <w:numId w:val="0"/>
        </w:numPr>
        <w:spacing w:line="360" w:lineRule="auto"/>
        <w:jc w:val="both"/>
        <w:rPr>
          <w:rFonts w:hint="default"/>
          <w:sz w:val="20"/>
          <w:szCs w:val="20"/>
          <w:lang w:val="es-CL"/>
        </w:rPr>
      </w:pPr>
      <w:r>
        <w:drawing>
          <wp:inline distT="0" distB="0" distL="114300" distR="114300">
            <wp:extent cx="5610860" cy="1635760"/>
            <wp:effectExtent l="0" t="0" r="8890" b="2540"/>
            <wp:docPr id="94"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 57"/>
                    <pic:cNvPicPr>
                      <a:picLocks noChangeAspect="1"/>
                    </pic:cNvPicPr>
                  </pic:nvPicPr>
                  <pic:blipFill>
                    <a:blip r:embed="rId13"/>
                    <a:stretch>
                      <a:fillRect/>
                    </a:stretch>
                  </pic:blipFill>
                  <pic:spPr>
                    <a:xfrm>
                      <a:off x="0" y="0"/>
                      <a:ext cx="5610860" cy="1635760"/>
                    </a:xfrm>
                    <a:prstGeom prst="rect">
                      <a:avLst/>
                    </a:prstGeom>
                    <a:noFill/>
                    <a:ln>
                      <a:noFill/>
                    </a:ln>
                  </pic:spPr>
                </pic:pic>
              </a:graphicData>
            </a:graphic>
          </wp:inline>
        </w:drawing>
      </w:r>
    </w:p>
    <w:p>
      <w:pPr>
        <w:spacing w:line="360" w:lineRule="auto"/>
        <w:jc w:val="both"/>
        <w:rPr>
          <w:rFonts w:hint="default"/>
          <w:sz w:val="20"/>
          <w:szCs w:val="20"/>
          <w:u w:val="single"/>
          <w:lang w:val="es-CL"/>
        </w:rPr>
      </w:pPr>
    </w:p>
    <w:p>
      <w:pPr>
        <w:spacing w:line="360" w:lineRule="auto"/>
        <w:jc w:val="both"/>
        <w:rPr>
          <w:rFonts w:asciiTheme="minorHAnsi" w:hAnsiTheme="minorHAnsi"/>
          <w:lang w:val="en-US"/>
        </w:rPr>
      </w:pPr>
      <w:r>
        <w:rPr>
          <w:rFonts w:hint="default"/>
          <w:sz w:val="20"/>
          <w:szCs w:val="20"/>
          <w:u w:val="single"/>
          <w:lang w:val="es-CL"/>
        </w:rPr>
        <w:t>Sincronización Unidad Concentradora</w:t>
      </w:r>
      <w:r>
        <w:rPr>
          <w:rFonts w:hint="default"/>
          <w:sz w:val="20"/>
          <w:szCs w:val="20"/>
          <w:lang w:val="es-CL"/>
        </w:rPr>
        <w:t xml:space="preserve">: </w:t>
      </w:r>
    </w:p>
    <w:p>
      <w:pPr>
        <w:numPr>
          <w:ilvl w:val="0"/>
          <w:numId w:val="0"/>
        </w:numPr>
        <w:spacing w:line="360" w:lineRule="auto"/>
        <w:jc w:val="both"/>
        <w:rPr>
          <w:rFonts w:hint="default"/>
          <w:sz w:val="20"/>
          <w:szCs w:val="20"/>
          <w:lang w:val="en-US"/>
        </w:rPr>
      </w:pPr>
      <w:r>
        <w:rPr>
          <w:rFonts w:hint="default"/>
          <w:sz w:val="20"/>
          <w:szCs w:val="20"/>
          <w:lang w:val="en-US"/>
        </w:rPr>
        <w:t xml:space="preserve">El concentrador </w:t>
      </w:r>
      <w:r>
        <w:rPr>
          <w:rFonts w:hint="default"/>
          <w:sz w:val="20"/>
          <w:szCs w:val="20"/>
          <w:lang w:val="es-CL"/>
        </w:rPr>
        <w:t>se</w:t>
      </w:r>
      <w:r>
        <w:rPr>
          <w:rFonts w:hint="default"/>
          <w:sz w:val="20"/>
          <w:szCs w:val="20"/>
          <w:lang w:val="en-US"/>
        </w:rPr>
        <w:t xml:space="preserve"> sincroniza</w:t>
      </w:r>
      <w:r>
        <w:rPr>
          <w:rFonts w:hint="default"/>
          <w:sz w:val="20"/>
          <w:szCs w:val="20"/>
          <w:lang w:val="es-CL"/>
        </w:rPr>
        <w:t>n</w:t>
      </w:r>
      <w:r>
        <w:rPr>
          <w:rFonts w:hint="default"/>
          <w:sz w:val="20"/>
          <w:szCs w:val="20"/>
          <w:lang w:val="en-US"/>
        </w:rPr>
        <w:t xml:space="preserve"> </w:t>
      </w:r>
      <w:r>
        <w:rPr>
          <w:rFonts w:hint="default"/>
          <w:sz w:val="20"/>
          <w:szCs w:val="20"/>
          <w:lang w:val="es-CL"/>
        </w:rPr>
        <w:t xml:space="preserve">con </w:t>
      </w:r>
      <w:r>
        <w:rPr>
          <w:rFonts w:hint="default"/>
          <w:sz w:val="20"/>
          <w:szCs w:val="20"/>
          <w:lang w:val="en-US"/>
        </w:rPr>
        <w:t>el sistema en cada conexión.</w:t>
      </w:r>
      <w:r>
        <w:rPr>
          <w:rFonts w:hint="default"/>
          <w:sz w:val="20"/>
          <w:szCs w:val="20"/>
          <w:lang w:val="es-CL"/>
        </w:rPr>
        <w:t xml:space="preserve"> Estas</w:t>
      </w:r>
      <w:r>
        <w:rPr>
          <w:rFonts w:hint="default"/>
          <w:sz w:val="20"/>
          <w:szCs w:val="20"/>
          <w:lang w:val="en-US"/>
        </w:rPr>
        <w:t xml:space="preserve"> conexiones consisten en:</w:t>
      </w:r>
    </w:p>
    <w:p>
      <w:pPr>
        <w:numPr>
          <w:ilvl w:val="0"/>
          <w:numId w:val="3"/>
        </w:numPr>
        <w:spacing w:line="360" w:lineRule="auto"/>
        <w:ind w:left="420" w:leftChars="0" w:firstLine="0" w:firstLineChars="0"/>
        <w:jc w:val="both"/>
        <w:rPr>
          <w:rFonts w:hint="default"/>
          <w:sz w:val="20"/>
          <w:szCs w:val="20"/>
          <w:lang w:val="en-US"/>
        </w:rPr>
      </w:pPr>
      <w:r>
        <w:rPr>
          <w:rFonts w:hint="default"/>
          <w:sz w:val="20"/>
          <w:szCs w:val="20"/>
          <w:lang w:val="en-US"/>
        </w:rPr>
        <w:t>Operaciones programadas, ejecutadas automáticamente por el sistema.</w:t>
      </w:r>
    </w:p>
    <w:p>
      <w:pPr>
        <w:numPr>
          <w:ilvl w:val="0"/>
          <w:numId w:val="3"/>
        </w:numPr>
        <w:spacing w:line="360" w:lineRule="auto"/>
        <w:ind w:left="420" w:leftChars="0" w:firstLine="0" w:firstLineChars="0"/>
        <w:jc w:val="both"/>
        <w:rPr>
          <w:rFonts w:hint="default"/>
          <w:sz w:val="20"/>
          <w:szCs w:val="20"/>
          <w:lang w:val="en-US"/>
        </w:rPr>
      </w:pPr>
      <w:r>
        <w:rPr>
          <w:rFonts w:hint="default"/>
          <w:sz w:val="20"/>
          <w:szCs w:val="20"/>
          <w:lang w:val="en-US"/>
        </w:rPr>
        <w:t>Operaciones bajo demanda, ejecutadas por el usuario a través del sitio web sobre concentrador y medidor.</w:t>
      </w:r>
    </w:p>
    <w:p>
      <w:pPr>
        <w:numPr>
          <w:ilvl w:val="0"/>
          <w:numId w:val="3"/>
        </w:numPr>
        <w:spacing w:line="360" w:lineRule="auto"/>
        <w:ind w:left="420" w:leftChars="0" w:firstLine="0" w:firstLineChars="0"/>
        <w:jc w:val="both"/>
        <w:rPr>
          <w:rFonts w:eastAsia="Times New Roman" w:asciiTheme="minorHAnsi" w:hAnsiTheme="minorHAnsi"/>
          <w:kern w:val="0"/>
          <w:sz w:val="22"/>
          <w:szCs w:val="22"/>
          <w:lang w:eastAsia="it-IT"/>
        </w:rPr>
      </w:pPr>
      <w:r>
        <w:rPr>
          <w:rFonts w:hint="default"/>
          <w:sz w:val="20"/>
          <w:szCs w:val="20"/>
          <w:lang w:val="en-US"/>
        </w:rPr>
        <w:t xml:space="preserve">Operaciones bajo demanda, requeridas vía integración por </w:t>
      </w:r>
      <w:r>
        <w:rPr>
          <w:rFonts w:hint="default"/>
          <w:sz w:val="20"/>
          <w:szCs w:val="20"/>
          <w:lang w:val="es-CL"/>
        </w:rPr>
        <w:t xml:space="preserve">capa de </w:t>
      </w:r>
      <w:r>
        <w:rPr>
          <w:rFonts w:hint="default"/>
          <w:sz w:val="20"/>
          <w:szCs w:val="20"/>
          <w:lang w:val="en-US"/>
        </w:rPr>
        <w:t>integra</w:t>
      </w:r>
      <w:r>
        <w:rPr>
          <w:rFonts w:hint="default"/>
          <w:sz w:val="20"/>
          <w:szCs w:val="20"/>
          <w:lang w:val="es-CL"/>
        </w:rPr>
        <w:t>ción</w:t>
      </w:r>
      <w:r>
        <w:rPr>
          <w:rFonts w:hint="default"/>
          <w:sz w:val="20"/>
          <w:szCs w:val="20"/>
          <w:lang w:val="en-US"/>
        </w:rPr>
        <w:t>.</w:t>
      </w:r>
    </w:p>
    <w:p>
      <w:pPr>
        <w:numPr>
          <w:ilvl w:val="0"/>
          <w:numId w:val="0"/>
        </w:numPr>
        <w:spacing w:line="360" w:lineRule="auto"/>
        <w:jc w:val="both"/>
        <w:rPr>
          <w:rFonts w:hint="default"/>
          <w:sz w:val="20"/>
          <w:szCs w:val="20"/>
          <w:lang w:val="es-CL" w:eastAsia="it-IT"/>
        </w:rPr>
      </w:pPr>
      <w:r>
        <w:rPr>
          <w:rFonts w:hint="default"/>
          <w:sz w:val="20"/>
          <w:szCs w:val="20"/>
          <w:lang w:val="es-CL"/>
        </w:rPr>
        <w:t>Este flujo se describe en el siguiente esquema:</w:t>
      </w:r>
    </w:p>
    <w:p>
      <w:pPr>
        <w:jc w:val="both"/>
        <w:rPr>
          <w:rFonts w:asciiTheme="minorHAnsi" w:hAnsiTheme="minorHAnsi"/>
          <w:lang w:val="en-US"/>
        </w:rPr>
      </w:pPr>
    </w:p>
    <w:p>
      <w:pPr>
        <w:jc w:val="both"/>
        <w:rPr>
          <w:rFonts w:asciiTheme="minorHAnsi" w:hAnsiTheme="minorHAnsi"/>
          <w:lang w:val="en-US"/>
        </w:rPr>
      </w:pPr>
      <w:r>
        <w:rPr>
          <w:rFonts w:asciiTheme="minorHAnsi" w:hAnsiTheme="minorHAnsi"/>
          <w:lang w:val="es-CL" w:eastAsia="es-CL"/>
        </w:rPr>
        <w:drawing>
          <wp:inline distT="0" distB="0" distL="0" distR="0">
            <wp:extent cx="4989830" cy="2738120"/>
            <wp:effectExtent l="0" t="0" r="1270" b="5080"/>
            <wp:docPr id="8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magine 3"/>
                    <pic:cNvPicPr>
                      <a:picLocks noChangeAspect="1" noChangeArrowheads="1"/>
                    </pic:cNvPicPr>
                  </pic:nvPicPr>
                  <pic:blipFill>
                    <a:blip r:embed="rId14">
                      <a:extLst>
                        <a:ext uri="{28A0092B-C50C-407E-A947-70E740481C1C}">
                          <a14:useLocalDpi xmlns:a14="http://schemas.microsoft.com/office/drawing/2010/main" val="0"/>
                        </a:ext>
                      </a:extLst>
                    </a:blip>
                    <a:srcRect b="17701"/>
                    <a:stretch>
                      <a:fillRect/>
                    </a:stretch>
                  </pic:blipFill>
                  <pic:spPr>
                    <a:xfrm>
                      <a:off x="0" y="0"/>
                      <a:ext cx="4989830" cy="2738120"/>
                    </a:xfrm>
                    <a:prstGeom prst="rect">
                      <a:avLst/>
                    </a:prstGeom>
                    <a:noFill/>
                    <a:ln>
                      <a:noFill/>
                    </a:ln>
                  </pic:spPr>
                </pic:pic>
              </a:graphicData>
            </a:graphic>
          </wp:inline>
        </w:drawing>
      </w:r>
    </w:p>
    <w:p>
      <w:pPr>
        <w:jc w:val="both"/>
        <w:rPr>
          <w:rFonts w:asciiTheme="minorHAnsi" w:hAnsiTheme="minorHAnsi"/>
          <w:lang w:val="en-US"/>
        </w:rPr>
      </w:pPr>
    </w:p>
    <w:p>
      <w:pPr>
        <w:jc w:val="both"/>
        <w:rPr>
          <w:rFonts w:asciiTheme="minorHAnsi" w:hAnsiTheme="minorHAnsi"/>
          <w:lang w:val="en-US"/>
        </w:rPr>
      </w:pPr>
    </w:p>
    <w:p>
      <w:pPr>
        <w:spacing w:line="276" w:lineRule="auto"/>
        <w:jc w:val="both"/>
        <w:rPr>
          <w:rFonts w:hint="default"/>
          <w:sz w:val="20"/>
          <w:szCs w:val="20"/>
          <w:lang w:val="es-CL"/>
        </w:rPr>
      </w:pPr>
    </w:p>
    <w:p>
      <w:pPr>
        <w:spacing w:line="360" w:lineRule="auto"/>
        <w:jc w:val="both"/>
        <w:rPr>
          <w:rFonts w:hint="default" w:ascii="Helvetica Neue Light" w:hAnsi="Helvetica Neue Light" w:eastAsia="Helvetica Neue Light" w:cs="Helvetica Neue Light"/>
          <w:b/>
          <w:sz w:val="20"/>
          <w:szCs w:val="20"/>
          <w:lang w:val="es-CL"/>
        </w:rPr>
      </w:pPr>
      <w:r>
        <w:rPr>
          <w:rFonts w:ascii="Helvetica Neue Light" w:hAnsi="Helvetica Neue Light" w:eastAsia="Helvetica Neue Light" w:cs="Helvetica Neue Light"/>
          <w:b/>
          <w:sz w:val="20"/>
          <w:szCs w:val="20"/>
        </w:rPr>
        <w:t>Descripción</w:t>
      </w:r>
      <w:r>
        <w:rPr>
          <w:rFonts w:hint="default" w:ascii="Helvetica Neue Light" w:hAnsi="Helvetica Neue Light" w:eastAsia="Helvetica Neue Light" w:cs="Helvetica Neue Light"/>
          <w:b/>
          <w:sz w:val="20"/>
          <w:szCs w:val="20"/>
          <w:lang w:val="es-CL"/>
        </w:rPr>
        <w:t xml:space="preserve"> Estampa de Tiempo en los registros</w:t>
      </w:r>
    </w:p>
    <w:p>
      <w:pPr>
        <w:spacing w:line="360" w:lineRule="auto"/>
        <w:jc w:val="both"/>
        <w:rPr>
          <w:rFonts w:hint="default" w:ascii="Helvetica Neue Light" w:hAnsi="Helvetica Neue Light" w:eastAsia="Helvetica Neue Light" w:cs="Helvetica Neue Light"/>
          <w:b/>
          <w:sz w:val="20"/>
          <w:szCs w:val="20"/>
          <w:lang w:val="es-CL"/>
        </w:rPr>
      </w:pPr>
    </w:p>
    <w:p>
      <w:pPr>
        <w:numPr>
          <w:numId w:val="0"/>
        </w:numPr>
        <w:spacing w:line="360" w:lineRule="auto"/>
        <w:jc w:val="both"/>
        <w:rPr>
          <w:rFonts w:hint="default"/>
          <w:sz w:val="20"/>
          <w:szCs w:val="20"/>
          <w:lang w:val="es-CL"/>
        </w:rPr>
      </w:pPr>
      <w:r>
        <w:rPr>
          <w:rFonts w:hint="default"/>
          <w:sz w:val="20"/>
          <w:szCs w:val="20"/>
          <w:lang w:val="es-CL"/>
        </w:rPr>
        <w:t xml:space="preserve">En relación a la estampa de tiempo, las unidades de medida incluyen  la hora local en los registros. </w:t>
      </w:r>
    </w:p>
    <w:p>
      <w:pPr>
        <w:numPr>
          <w:numId w:val="0"/>
        </w:numPr>
        <w:spacing w:line="360" w:lineRule="auto"/>
        <w:jc w:val="both"/>
        <w:rPr>
          <w:rFonts w:hint="default"/>
          <w:sz w:val="20"/>
          <w:szCs w:val="20"/>
          <w:lang w:val="es-CL"/>
        </w:rPr>
      </w:pPr>
      <w:r>
        <w:rPr>
          <w:rFonts w:hint="default"/>
          <w:sz w:val="20"/>
          <w:szCs w:val="20"/>
          <w:lang w:val="es-CL"/>
        </w:rPr>
        <w:t xml:space="preserve">Para las variables de medida, se registra cada 15 minutos con la respectiva estampa de tiempo. </w:t>
      </w:r>
    </w:p>
    <w:p>
      <w:pPr>
        <w:numPr>
          <w:numId w:val="0"/>
        </w:numPr>
        <w:spacing w:line="360" w:lineRule="auto"/>
        <w:jc w:val="both"/>
        <w:rPr>
          <w:rFonts w:hint="default"/>
          <w:sz w:val="20"/>
          <w:szCs w:val="20"/>
          <w:lang w:val="es-CL"/>
        </w:rPr>
      </w:pPr>
      <w:r>
        <w:rPr>
          <w:rFonts w:hint="default"/>
          <w:sz w:val="20"/>
          <w:szCs w:val="20"/>
          <w:lang w:val="es-CL"/>
        </w:rPr>
        <w:t>Para los eventos y alarmas,  se registra el cambio de estado con la respectiva estampa de tiempo.</w:t>
      </w:r>
    </w:p>
    <w:p>
      <w:pPr>
        <w:numPr>
          <w:numId w:val="0"/>
        </w:numPr>
        <w:spacing w:line="360" w:lineRule="auto"/>
        <w:jc w:val="both"/>
        <w:rPr>
          <w:rFonts w:hint="default"/>
          <w:sz w:val="20"/>
          <w:szCs w:val="20"/>
          <w:lang w:val="es-CL"/>
        </w:rPr>
      </w:pPr>
      <w:r>
        <w:rPr>
          <w:rFonts w:hint="default"/>
          <w:sz w:val="20"/>
          <w:szCs w:val="20"/>
          <w:lang w:val="es-CL"/>
        </w:rPr>
        <w:t>Para las ordenes de trabajo (WO) emitidas desde el sistema SMMePlus y/o por sistema externos (a través de la capa de integración), el registro incluye información de la estampa de tiempo de inicio y termino de la actividad.</w:t>
      </w:r>
    </w:p>
    <w:p>
      <w:pPr>
        <w:numPr>
          <w:numId w:val="0"/>
        </w:numPr>
        <w:spacing w:line="360" w:lineRule="auto"/>
        <w:jc w:val="both"/>
        <w:rPr>
          <w:rFonts w:hint="default"/>
          <w:sz w:val="20"/>
          <w:szCs w:val="20"/>
          <w:lang w:val="es-CL"/>
        </w:rPr>
      </w:pPr>
    </w:p>
    <w:p>
      <w:pPr>
        <w:numPr>
          <w:numId w:val="0"/>
        </w:numPr>
        <w:spacing w:line="360" w:lineRule="auto"/>
        <w:jc w:val="both"/>
        <w:rPr>
          <w:rFonts w:hint="default"/>
          <w:sz w:val="20"/>
          <w:szCs w:val="20"/>
          <w:lang w:val="es-CL"/>
        </w:rPr>
      </w:pPr>
      <w:r>
        <w:rPr>
          <w:rFonts w:hint="default"/>
          <w:sz w:val="20"/>
          <w:szCs w:val="20"/>
          <w:lang w:val="es-CL"/>
        </w:rPr>
        <w:t>Todos los registros y actividades realizadas en SMMeplus incluyen la respectiva estampa de tiempo, etos se pueden visualizar en el documento “2.SMMePlus - Homologation v.1.6_Final”.</w:t>
      </w:r>
    </w:p>
    <w:p>
      <w:pPr>
        <w:numPr>
          <w:numId w:val="0"/>
        </w:numPr>
        <w:spacing w:line="360" w:lineRule="auto"/>
        <w:ind w:leftChars="0"/>
        <w:jc w:val="both"/>
        <w:rPr>
          <w:rFonts w:hint="default"/>
          <w:sz w:val="20"/>
          <w:szCs w:val="20"/>
          <w:lang w:val="es-CL"/>
        </w:rPr>
      </w:pPr>
    </w:p>
    <w:p>
      <w:pPr>
        <w:numPr>
          <w:numId w:val="0"/>
        </w:numPr>
        <w:spacing w:line="360" w:lineRule="auto"/>
        <w:ind w:leftChars="0"/>
        <w:jc w:val="both"/>
        <w:rPr>
          <w:rFonts w:hint="default"/>
          <w:sz w:val="20"/>
          <w:szCs w:val="20"/>
          <w:lang w:val="es-CL"/>
        </w:rPr>
      </w:pPr>
    </w:p>
    <w:p>
      <w:pPr>
        <w:numPr>
          <w:numId w:val="0"/>
        </w:numPr>
        <w:spacing w:line="360" w:lineRule="auto"/>
        <w:ind w:leftChars="0"/>
        <w:jc w:val="both"/>
        <w:rPr>
          <w:rFonts w:hint="default"/>
          <w:sz w:val="20"/>
          <w:szCs w:val="20"/>
          <w:lang w:val="es-CL"/>
        </w:rPr>
      </w:pPr>
    </w:p>
    <w:p>
      <w:pPr>
        <w:numPr>
          <w:numId w:val="0"/>
        </w:numPr>
        <w:spacing w:line="360" w:lineRule="auto"/>
        <w:ind w:leftChars="0"/>
        <w:jc w:val="both"/>
        <w:rPr>
          <w:rFonts w:hint="default"/>
          <w:sz w:val="20"/>
          <w:szCs w:val="20"/>
          <w:lang w:val="es-CL"/>
        </w:rPr>
      </w:pPr>
    </w:p>
    <w:p>
      <w:pPr>
        <w:numPr>
          <w:numId w:val="0"/>
        </w:numPr>
        <w:spacing w:line="360" w:lineRule="auto"/>
        <w:ind w:leftChars="0"/>
        <w:jc w:val="both"/>
        <w:rPr>
          <w:rFonts w:hint="default"/>
          <w:sz w:val="20"/>
          <w:szCs w:val="20"/>
          <w:lang w:val="es-CL"/>
        </w:rPr>
      </w:pPr>
      <w:r>
        <w:rPr>
          <w:rFonts w:hint="default"/>
          <w:sz w:val="20"/>
          <w:szCs w:val="20"/>
          <w:u w:val="single"/>
          <w:lang w:val="es-CL"/>
        </w:rPr>
        <w:t>Ejemplo de estampa de tiempo en registros de las variables de medidas</w:t>
      </w:r>
      <w:r>
        <w:rPr>
          <w:rFonts w:hint="default"/>
          <w:sz w:val="20"/>
          <w:szCs w:val="20"/>
          <w:lang w:val="es-CL"/>
        </w:rPr>
        <w:t>:</w:t>
      </w:r>
    </w:p>
    <w:p>
      <w:pPr>
        <w:numPr>
          <w:numId w:val="0"/>
        </w:numPr>
        <w:spacing w:line="360" w:lineRule="auto"/>
        <w:ind w:leftChars="0"/>
        <w:jc w:val="both"/>
        <w:rPr>
          <w:rFonts w:hint="default"/>
          <w:sz w:val="20"/>
          <w:szCs w:val="20"/>
          <w:lang w:val="es-CL"/>
        </w:rPr>
      </w:pPr>
    </w:p>
    <w:p>
      <w:pPr>
        <w:numPr>
          <w:numId w:val="0"/>
        </w:numPr>
        <w:spacing w:line="360" w:lineRule="auto"/>
        <w:jc w:val="both"/>
        <w:rPr>
          <w:rFonts w:hint="default"/>
          <w:sz w:val="20"/>
          <w:szCs w:val="20"/>
          <w:lang w:val="es-CL"/>
        </w:rPr>
      </w:pPr>
      <w:r>
        <w:rPr>
          <w:rFonts w:hint="default"/>
          <w:sz w:val="20"/>
          <w:szCs w:val="20"/>
          <w:lang w:val="es-CL"/>
        </w:rPr>
        <w:t>Curva de Carga Energía Activa: La curva de carga se registra cada 15 minutos en el registro LP archivo “S_Año-Mes-Día.csv”. En el campo “sampledate” se incluye la estampa de tiempo de la variable registrada en formato Año-Mes-Día y hora.</w:t>
      </w:r>
    </w:p>
    <w:p>
      <w:pPr>
        <w:numPr>
          <w:numId w:val="0"/>
        </w:numPr>
        <w:spacing w:line="360" w:lineRule="auto"/>
        <w:jc w:val="both"/>
        <w:rPr>
          <w:rFonts w:hint="default"/>
          <w:sz w:val="20"/>
          <w:szCs w:val="20"/>
          <w:lang w:val="es-CL"/>
        </w:rPr>
      </w:pPr>
      <w:r>
        <w:drawing>
          <wp:inline distT="0" distB="0" distL="114300" distR="114300">
            <wp:extent cx="5610860" cy="2358390"/>
            <wp:effectExtent l="0" t="0" r="8890" b="3810"/>
            <wp:docPr id="95"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58"/>
                    <pic:cNvPicPr>
                      <a:picLocks noChangeAspect="1"/>
                    </pic:cNvPicPr>
                  </pic:nvPicPr>
                  <pic:blipFill>
                    <a:blip r:embed="rId15"/>
                    <a:stretch>
                      <a:fillRect/>
                    </a:stretch>
                  </pic:blipFill>
                  <pic:spPr>
                    <a:xfrm>
                      <a:off x="0" y="0"/>
                      <a:ext cx="5610860" cy="2358390"/>
                    </a:xfrm>
                    <a:prstGeom prst="rect">
                      <a:avLst/>
                    </a:prstGeom>
                    <a:noFill/>
                    <a:ln>
                      <a:noFill/>
                    </a:ln>
                  </pic:spPr>
                </pic:pic>
              </a:graphicData>
            </a:graphic>
          </wp:inline>
        </w:drawing>
      </w:r>
    </w:p>
    <w:p>
      <w:pPr>
        <w:numPr>
          <w:numId w:val="0"/>
        </w:numPr>
        <w:spacing w:line="360" w:lineRule="auto"/>
        <w:jc w:val="both"/>
        <w:rPr>
          <w:rFonts w:hint="default"/>
          <w:sz w:val="20"/>
          <w:szCs w:val="20"/>
          <w:lang w:val="es-CL"/>
        </w:rPr>
      </w:pPr>
    </w:p>
    <w:p>
      <w:pPr>
        <w:numPr>
          <w:numId w:val="0"/>
        </w:numPr>
        <w:spacing w:line="360" w:lineRule="auto"/>
        <w:jc w:val="both"/>
        <w:rPr>
          <w:rFonts w:hint="default"/>
          <w:sz w:val="20"/>
          <w:szCs w:val="20"/>
          <w:lang w:val="es-CL"/>
        </w:rPr>
      </w:pPr>
      <w:r>
        <w:rPr>
          <w:rFonts w:hint="default"/>
          <w:sz w:val="20"/>
          <w:szCs w:val="20"/>
          <w:lang w:val="es-CL"/>
        </w:rPr>
        <w:t xml:space="preserve"> Mesurandos: En este registro, se encuentra las variables tales como el promedio de corriente y promedio de voltaje cada 15 minutos. Esta se guarda en el archivo “M_Año-Mes-Día.csv”. En el campo “sampledate”  se incluye la estampa de tiempo de la variable registrada en formato Año-Mes-Día y hora.</w:t>
      </w:r>
    </w:p>
    <w:p>
      <w:pPr>
        <w:numPr>
          <w:numId w:val="0"/>
        </w:numPr>
        <w:spacing w:line="360" w:lineRule="auto"/>
        <w:jc w:val="both"/>
        <w:rPr>
          <w:rFonts w:hint="default"/>
          <w:sz w:val="20"/>
          <w:szCs w:val="20"/>
          <w:lang w:val="es-CL"/>
        </w:rPr>
      </w:pPr>
      <w:r>
        <w:drawing>
          <wp:inline distT="0" distB="0" distL="114300" distR="114300">
            <wp:extent cx="5609590" cy="1717040"/>
            <wp:effectExtent l="0" t="0" r="10160" b="16510"/>
            <wp:docPr id="9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59"/>
                    <pic:cNvPicPr>
                      <a:picLocks noChangeAspect="1"/>
                    </pic:cNvPicPr>
                  </pic:nvPicPr>
                  <pic:blipFill>
                    <a:blip r:embed="rId16"/>
                    <a:stretch>
                      <a:fillRect/>
                    </a:stretch>
                  </pic:blipFill>
                  <pic:spPr>
                    <a:xfrm>
                      <a:off x="0" y="0"/>
                      <a:ext cx="5609590" cy="1717040"/>
                    </a:xfrm>
                    <a:prstGeom prst="rect">
                      <a:avLst/>
                    </a:prstGeom>
                    <a:noFill/>
                    <a:ln>
                      <a:noFill/>
                    </a:ln>
                  </pic:spPr>
                </pic:pic>
              </a:graphicData>
            </a:graphic>
          </wp:inline>
        </w:drawing>
      </w:r>
    </w:p>
    <w:p>
      <w:pPr>
        <w:spacing w:line="360" w:lineRule="auto"/>
        <w:jc w:val="both"/>
        <w:rPr>
          <w:rFonts w:hint="default" w:ascii="Helvetica Neue Light" w:hAnsi="Helvetica Neue Light" w:eastAsia="Helvetica Neue Light" w:cs="Helvetica Neue Light"/>
          <w:b/>
          <w:sz w:val="20"/>
          <w:szCs w:val="20"/>
          <w:lang w:val="es-CL"/>
        </w:rPr>
      </w:pPr>
    </w:p>
    <w:p>
      <w:pPr>
        <w:numPr>
          <w:ilvl w:val="0"/>
          <w:numId w:val="0"/>
        </w:numPr>
        <w:spacing w:line="360" w:lineRule="auto"/>
        <w:jc w:val="both"/>
        <w:rPr>
          <w:rFonts w:hint="default" w:ascii="Helvetica Neue Light" w:hAnsi="Helvetica Neue Light" w:eastAsia="Helvetica Neue Light" w:cs="Helvetica Neue Light"/>
          <w:b/>
          <w:sz w:val="20"/>
          <w:szCs w:val="20"/>
          <w:lang w:val="es-CL"/>
        </w:rPr>
      </w:pPr>
      <w:r>
        <w:rPr>
          <w:rFonts w:hint="default"/>
          <w:sz w:val="20"/>
          <w:szCs w:val="20"/>
          <w:lang w:val="es-CL"/>
        </w:rPr>
        <w:t>Lectura diaria: Lectura de cierre diario (Daily Closure) que registra la energía activa al menos una vez al día para el proceso de facturación. El archivo es llamado “DC_Año-Mes-Día.csv”. En el campo “sampledate” se incluye la estampa de tiempo de la variable registrada en formato Año-Mes-Día y hora.</w:t>
      </w:r>
    </w:p>
    <w:p>
      <w:pPr>
        <w:spacing w:line="276" w:lineRule="auto"/>
        <w:jc w:val="both"/>
        <w:rPr>
          <w:rFonts w:hint="default"/>
          <w:sz w:val="20"/>
          <w:szCs w:val="20"/>
          <w:lang w:val="es-CL"/>
        </w:rPr>
      </w:pPr>
      <w:r>
        <w:drawing>
          <wp:inline distT="0" distB="0" distL="114300" distR="114300">
            <wp:extent cx="5603240" cy="789940"/>
            <wp:effectExtent l="0" t="0" r="16510" b="10160"/>
            <wp:docPr id="97"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60"/>
                    <pic:cNvPicPr>
                      <a:picLocks noChangeAspect="1"/>
                    </pic:cNvPicPr>
                  </pic:nvPicPr>
                  <pic:blipFill>
                    <a:blip r:embed="rId17"/>
                    <a:stretch>
                      <a:fillRect/>
                    </a:stretch>
                  </pic:blipFill>
                  <pic:spPr>
                    <a:xfrm>
                      <a:off x="0" y="0"/>
                      <a:ext cx="5603240" cy="789940"/>
                    </a:xfrm>
                    <a:prstGeom prst="rect">
                      <a:avLst/>
                    </a:prstGeom>
                    <a:noFill/>
                    <a:ln>
                      <a:noFill/>
                    </a:ln>
                  </pic:spPr>
                </pic:pic>
              </a:graphicData>
            </a:graphic>
          </wp:inline>
        </w:drawing>
      </w:r>
    </w:p>
    <w:p>
      <w:pPr>
        <w:spacing w:line="276" w:lineRule="auto"/>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u w:val="single"/>
          <w:lang w:val="es-CL"/>
        </w:rPr>
        <w:t>Ejemplo de estampa de tiempo en eventos y alarmas</w:t>
      </w:r>
      <w:r>
        <w:rPr>
          <w:rFonts w:hint="default"/>
          <w:sz w:val="20"/>
          <w:szCs w:val="20"/>
          <w:lang w:val="es-CL"/>
        </w:rPr>
        <w:t>:</w:t>
      </w:r>
    </w:p>
    <w:p>
      <w:pPr>
        <w:numPr>
          <w:ilvl w:val="0"/>
          <w:numId w:val="0"/>
        </w:numPr>
        <w:spacing w:line="360" w:lineRule="auto"/>
        <w:jc w:val="both"/>
        <w:rPr>
          <w:rFonts w:hint="default" w:ascii="Helvetica Neue Light" w:hAnsi="Helvetica Neue Light" w:eastAsia="Helvetica Neue Light" w:cs="Helvetica Neue Light"/>
          <w:b/>
          <w:sz w:val="20"/>
          <w:szCs w:val="20"/>
          <w:lang w:val="es-CL"/>
        </w:rPr>
      </w:pPr>
      <w:r>
        <w:rPr>
          <w:rFonts w:hint="default"/>
          <w:sz w:val="20"/>
          <w:szCs w:val="20"/>
          <w:lang w:val="es-CL"/>
        </w:rPr>
        <w:t>Alarmas y Eventos: En los registros de eventos se incluyen las palabras de estado de las unidades de medidores. El archivo es llamado “SWE_Año-Mes-Día.csv”. En el campo “date” se incluye la estampa de tiempo de la variable registrada en formato Año-Mes-Día y hora.</w:t>
      </w:r>
    </w:p>
    <w:p>
      <w:pPr>
        <w:numPr>
          <w:ilvl w:val="0"/>
          <w:numId w:val="0"/>
        </w:numPr>
        <w:spacing w:line="360" w:lineRule="auto"/>
        <w:ind w:leftChars="0"/>
        <w:jc w:val="both"/>
      </w:pPr>
      <w:r>
        <w:drawing>
          <wp:inline distT="0" distB="0" distL="114300" distR="114300">
            <wp:extent cx="5607685" cy="1517650"/>
            <wp:effectExtent l="0" t="0" r="12065" b="6350"/>
            <wp:docPr id="98"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61"/>
                    <pic:cNvPicPr>
                      <a:picLocks noChangeAspect="1"/>
                    </pic:cNvPicPr>
                  </pic:nvPicPr>
                  <pic:blipFill>
                    <a:blip r:embed="rId18"/>
                    <a:stretch>
                      <a:fillRect/>
                    </a:stretch>
                  </pic:blipFill>
                  <pic:spPr>
                    <a:xfrm>
                      <a:off x="0" y="0"/>
                      <a:ext cx="5607685" cy="1517650"/>
                    </a:xfrm>
                    <a:prstGeom prst="rect">
                      <a:avLst/>
                    </a:prstGeom>
                    <a:noFill/>
                    <a:ln>
                      <a:noFill/>
                    </a:ln>
                  </pic:spPr>
                </pic:pic>
              </a:graphicData>
            </a:graphic>
          </wp:inline>
        </w:drawing>
      </w:r>
    </w:p>
    <w:p>
      <w:pPr>
        <w:numPr>
          <w:ilvl w:val="0"/>
          <w:numId w:val="0"/>
        </w:numPr>
        <w:spacing w:line="360" w:lineRule="auto"/>
        <w:jc w:val="both"/>
        <w:rPr>
          <w:rFonts w:hint="default"/>
          <w:sz w:val="20"/>
          <w:szCs w:val="20"/>
          <w:lang w:val="es-CL"/>
        </w:rPr>
      </w:pPr>
      <w:r>
        <w:rPr>
          <w:rFonts w:hint="default"/>
          <w:sz w:val="20"/>
          <w:szCs w:val="20"/>
          <w:lang w:val="es-CL"/>
        </w:rPr>
        <w:t>Los mensajes espontáneos de unidad concentradoras y unidad de medidas vienen en los archivos de eventos menores denominado como LPE_Año-Mes-Día.csv”.</w:t>
      </w:r>
    </w:p>
    <w:p>
      <w:pPr>
        <w:numPr>
          <w:ilvl w:val="0"/>
          <w:numId w:val="0"/>
        </w:numPr>
        <w:spacing w:line="360" w:lineRule="auto"/>
        <w:ind w:leftChars="0"/>
        <w:jc w:val="both"/>
        <w:rPr>
          <w:rFonts w:hint="default"/>
          <w:lang w:val="es-CL"/>
        </w:rPr>
      </w:pPr>
      <w:r>
        <w:drawing>
          <wp:inline distT="0" distB="0" distL="114300" distR="114300">
            <wp:extent cx="5605780" cy="428625"/>
            <wp:effectExtent l="0" t="0" r="0" b="8890"/>
            <wp:docPr id="103"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66"/>
                    <pic:cNvPicPr>
                      <a:picLocks noChangeAspect="1"/>
                    </pic:cNvPicPr>
                  </pic:nvPicPr>
                  <pic:blipFill>
                    <a:blip r:embed="rId19"/>
                    <a:stretch>
                      <a:fillRect/>
                    </a:stretch>
                  </pic:blipFill>
                  <pic:spPr>
                    <a:xfrm>
                      <a:off x="0" y="0"/>
                      <a:ext cx="5605780" cy="428625"/>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r>
        <w:rPr>
          <w:rFonts w:hint="default"/>
          <w:sz w:val="20"/>
          <w:szCs w:val="20"/>
          <w:lang w:val="es-CL"/>
        </w:rPr>
        <w:t>Hay tres campos relacionados a la estampa de tiempo:</w:t>
      </w:r>
    </w:p>
    <w:p>
      <w:pPr>
        <w:numPr>
          <w:ilvl w:val="0"/>
          <w:numId w:val="0"/>
        </w:numPr>
        <w:spacing w:line="360" w:lineRule="auto"/>
        <w:ind w:leftChars="0"/>
        <w:jc w:val="both"/>
        <w:rPr>
          <w:rFonts w:hint="default"/>
          <w:sz w:val="20"/>
          <w:szCs w:val="20"/>
          <w:lang w:val="es-CL"/>
        </w:rPr>
      </w:pPr>
      <w:r>
        <w:rPr>
          <w:rFonts w:hint="default"/>
          <w:sz w:val="20"/>
          <w:szCs w:val="20"/>
          <w:lang w:val="es-CL"/>
        </w:rPr>
        <w:t>Last date local: Estampa de tiempo que indica el registro con hora local del evento en el equipo.</w:t>
      </w:r>
    </w:p>
    <w:p>
      <w:pPr>
        <w:numPr>
          <w:ilvl w:val="0"/>
          <w:numId w:val="0"/>
        </w:numPr>
        <w:spacing w:line="360" w:lineRule="auto"/>
        <w:ind w:leftChars="0"/>
        <w:jc w:val="both"/>
        <w:rPr>
          <w:rFonts w:hint="default"/>
          <w:sz w:val="20"/>
          <w:szCs w:val="20"/>
          <w:lang w:val="es-CL"/>
        </w:rPr>
      </w:pPr>
      <w:r>
        <w:rPr>
          <w:rFonts w:hint="default"/>
          <w:sz w:val="20"/>
          <w:szCs w:val="20"/>
          <w:lang w:val="es-CL"/>
        </w:rPr>
        <w:t>Last update local: Estampa de tiempo que indica el registro con hora local  del evento por SMMePlus.</w:t>
      </w:r>
    </w:p>
    <w:p>
      <w:pPr>
        <w:numPr>
          <w:ilvl w:val="0"/>
          <w:numId w:val="0"/>
        </w:numPr>
        <w:spacing w:line="360" w:lineRule="auto"/>
        <w:ind w:leftChars="0"/>
        <w:jc w:val="both"/>
        <w:rPr>
          <w:rFonts w:hint="default"/>
          <w:sz w:val="20"/>
          <w:szCs w:val="20"/>
          <w:lang w:val="es-CL"/>
        </w:rPr>
      </w:pPr>
      <w:r>
        <w:rPr>
          <w:rFonts w:hint="default"/>
          <w:sz w:val="20"/>
          <w:szCs w:val="20"/>
          <w:lang w:val="es-CL"/>
        </w:rPr>
        <w:t>Last update utc:  Estampa de tiempo que indica el registro con hora oficial utc -0 del evento por SMMePlus.</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 xml:space="preserve">Eventos WO: Relacionado a las ordenes de trabajo ejecutas en los sistemas hacia las unidades de medida y unidades concentradoras. La estampa de tiempo de los eventos de WO viene incluida en el archivo de eventos denominado como “HPE_Año-Mes-Día.csv”. </w:t>
      </w:r>
    </w:p>
    <w:p>
      <w:pPr>
        <w:numPr>
          <w:ilvl w:val="0"/>
          <w:numId w:val="0"/>
        </w:numPr>
        <w:spacing w:line="360" w:lineRule="auto"/>
        <w:ind w:leftChars="0"/>
        <w:jc w:val="both"/>
        <w:rPr>
          <w:rFonts w:hint="default"/>
          <w:sz w:val="20"/>
          <w:szCs w:val="20"/>
          <w:lang w:val="es-CL"/>
        </w:rPr>
      </w:pPr>
      <w:r>
        <w:rPr>
          <w:rFonts w:hint="default"/>
          <w:sz w:val="20"/>
          <w:szCs w:val="20"/>
          <w:lang w:val="es-CL"/>
        </w:rPr>
        <w:t>En el campo “date” se incluye la estampa de tiempo de la variable registrada en formato Año-Mes-Día y hora.</w:t>
      </w:r>
    </w:p>
    <w:p>
      <w:pPr>
        <w:numPr>
          <w:ilvl w:val="0"/>
          <w:numId w:val="0"/>
        </w:numPr>
        <w:spacing w:line="360" w:lineRule="auto"/>
        <w:ind w:leftChars="0"/>
        <w:jc w:val="both"/>
        <w:rPr>
          <w:rFonts w:hint="default"/>
          <w:sz w:val="20"/>
          <w:szCs w:val="20"/>
          <w:lang w:val="es-CL"/>
        </w:rPr>
      </w:pPr>
      <w:r>
        <w:drawing>
          <wp:inline distT="0" distB="0" distL="114300" distR="114300">
            <wp:extent cx="5603875" cy="890905"/>
            <wp:effectExtent l="0" t="0" r="15875" b="4445"/>
            <wp:docPr id="10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68"/>
                    <pic:cNvPicPr>
                      <a:picLocks noChangeAspect="1"/>
                    </pic:cNvPicPr>
                  </pic:nvPicPr>
                  <pic:blipFill>
                    <a:blip r:embed="rId20"/>
                    <a:stretch>
                      <a:fillRect/>
                    </a:stretch>
                  </pic:blipFill>
                  <pic:spPr>
                    <a:xfrm>
                      <a:off x="0" y="0"/>
                      <a:ext cx="5603875" cy="890905"/>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Adicionalmente, desde el módulo de “Monitoring” de la web del SMMePlus, se puede descargar un reporte en tiempo real de las WO ejecutadas.</w:t>
      </w:r>
    </w:p>
    <w:p>
      <w:pPr>
        <w:numPr>
          <w:ilvl w:val="0"/>
          <w:numId w:val="0"/>
        </w:numPr>
        <w:spacing w:line="360" w:lineRule="auto"/>
        <w:ind w:leftChars="0"/>
        <w:jc w:val="both"/>
        <w:rPr>
          <w:rFonts w:hint="default"/>
          <w:sz w:val="20"/>
          <w:szCs w:val="20"/>
          <w:lang w:val="es-CL"/>
        </w:rPr>
      </w:pPr>
      <w:r>
        <w:drawing>
          <wp:inline distT="0" distB="0" distL="114300" distR="114300">
            <wp:extent cx="5608955" cy="624205"/>
            <wp:effectExtent l="0" t="0" r="10795" b="4445"/>
            <wp:docPr id="108"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69"/>
                    <pic:cNvPicPr>
                      <a:picLocks noChangeAspect="1"/>
                    </pic:cNvPicPr>
                  </pic:nvPicPr>
                  <pic:blipFill>
                    <a:blip r:embed="rId21"/>
                    <a:stretch>
                      <a:fillRect/>
                    </a:stretch>
                  </pic:blipFill>
                  <pic:spPr>
                    <a:xfrm>
                      <a:off x="0" y="0"/>
                      <a:ext cx="5608955" cy="624205"/>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r>
        <w:rPr>
          <w:rFonts w:hint="default"/>
          <w:sz w:val="20"/>
          <w:szCs w:val="20"/>
          <w:lang w:val="es-CL"/>
        </w:rPr>
        <w:t>Las estampas de tiempo incluidas en este tipo de reporte:</w:t>
      </w:r>
    </w:p>
    <w:p>
      <w:pPr>
        <w:numPr>
          <w:ilvl w:val="0"/>
          <w:numId w:val="0"/>
        </w:numPr>
        <w:spacing w:line="360" w:lineRule="auto"/>
        <w:ind w:leftChars="0"/>
        <w:jc w:val="both"/>
        <w:rPr>
          <w:rFonts w:hint="default"/>
          <w:sz w:val="20"/>
          <w:szCs w:val="20"/>
          <w:lang w:val="es-CL"/>
        </w:rPr>
      </w:pPr>
      <w:r>
        <w:rPr>
          <w:rFonts w:hint="default"/>
          <w:sz w:val="20"/>
          <w:szCs w:val="20"/>
          <w:lang w:val="es-CL"/>
        </w:rPr>
        <w:t>Startdate utc: Hace referencia al inicio de la actividad con hora oficial utc-0.</w:t>
      </w:r>
    </w:p>
    <w:p>
      <w:pPr>
        <w:numPr>
          <w:ilvl w:val="0"/>
          <w:numId w:val="0"/>
        </w:numPr>
        <w:spacing w:line="360" w:lineRule="auto"/>
        <w:ind w:leftChars="0"/>
        <w:jc w:val="both"/>
        <w:rPr>
          <w:rFonts w:hint="default"/>
          <w:sz w:val="20"/>
          <w:szCs w:val="20"/>
          <w:lang w:val="es-CL"/>
        </w:rPr>
      </w:pPr>
      <w:r>
        <w:rPr>
          <w:rFonts w:hint="default"/>
          <w:sz w:val="20"/>
          <w:szCs w:val="20"/>
          <w:lang w:val="es-CL"/>
        </w:rPr>
        <w:t>Enddate utc: Hace referencia al termino de la actividad con hora oficial utc-0.</w:t>
      </w:r>
    </w:p>
    <w:p>
      <w:pPr>
        <w:numPr>
          <w:ilvl w:val="0"/>
          <w:numId w:val="0"/>
        </w:numPr>
        <w:spacing w:line="360" w:lineRule="auto"/>
        <w:ind w:leftChars="0"/>
        <w:jc w:val="both"/>
        <w:rPr>
          <w:rFonts w:hint="default"/>
          <w:sz w:val="20"/>
          <w:szCs w:val="20"/>
          <w:lang w:val="es-CL"/>
        </w:rPr>
      </w:pPr>
      <w:r>
        <w:rPr>
          <w:rFonts w:hint="default"/>
          <w:sz w:val="20"/>
          <w:szCs w:val="20"/>
          <w:lang w:val="es-CL"/>
        </w:rPr>
        <w:t>Startdate local: Hace referencia al inicio de la actividad con hora local utc-4.</w:t>
      </w:r>
    </w:p>
    <w:p>
      <w:pPr>
        <w:numPr>
          <w:ilvl w:val="0"/>
          <w:numId w:val="0"/>
        </w:numPr>
        <w:spacing w:line="360" w:lineRule="auto"/>
        <w:ind w:leftChars="0"/>
        <w:jc w:val="both"/>
        <w:rPr>
          <w:rFonts w:hint="default"/>
          <w:sz w:val="20"/>
          <w:szCs w:val="20"/>
          <w:lang w:val="es-CL"/>
        </w:rPr>
      </w:pPr>
      <w:r>
        <w:rPr>
          <w:rFonts w:hint="default"/>
          <w:sz w:val="20"/>
          <w:szCs w:val="20"/>
          <w:lang w:val="es-CL"/>
        </w:rPr>
        <w:t>Enddate local: Hace referencia al termino de la actividad con hora local utc-4.</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Cabe señalar que la hora local del sistema queda establecida por la hora oficial local en los periodos de invierno y verano, por lo que se considera UTC-3 y UTC-4 respectivamente y cuando corresponda. Siendo la hora oficial del sistema UTC-0 la de referencia.</w:t>
      </w:r>
    </w:p>
    <w:p>
      <w:pPr>
        <w:numPr>
          <w:ilvl w:val="0"/>
          <w:numId w:val="0"/>
        </w:numPr>
        <w:spacing w:line="360" w:lineRule="auto"/>
        <w:ind w:leftChars="0"/>
        <w:jc w:val="both"/>
        <w:rPr>
          <w:rFonts w:hint="default"/>
          <w:sz w:val="20"/>
          <w:szCs w:val="20"/>
          <w:lang w:val="es-CL"/>
        </w:rPr>
      </w:pPr>
    </w:p>
    <w:p>
      <w:pPr>
        <w:spacing w:line="360" w:lineRule="auto"/>
        <w:jc w:val="both"/>
        <w:rPr>
          <w:rFonts w:hint="default" w:ascii="Helvetica Neue Light" w:hAnsi="Helvetica Neue Light" w:eastAsia="Helvetica Neue Light" w:cs="Helvetica Neue Light"/>
          <w:b/>
          <w:sz w:val="20"/>
          <w:szCs w:val="20"/>
          <w:lang w:val="es-CL"/>
        </w:rPr>
      </w:pPr>
      <w:r>
        <w:rPr>
          <w:rFonts w:ascii="Helvetica Neue Light" w:hAnsi="Helvetica Neue Light" w:eastAsia="Helvetica Neue Light" w:cs="Helvetica Neue Light"/>
          <w:b/>
          <w:sz w:val="20"/>
          <w:szCs w:val="20"/>
        </w:rPr>
        <w:t>Descripción</w:t>
      </w:r>
      <w:r>
        <w:rPr>
          <w:rFonts w:hint="default" w:ascii="Helvetica Neue Light" w:hAnsi="Helvetica Neue Light" w:eastAsia="Helvetica Neue Light" w:cs="Helvetica Neue Light"/>
          <w:b/>
          <w:sz w:val="20"/>
          <w:szCs w:val="20"/>
          <w:lang w:val="es-CL"/>
        </w:rPr>
        <w:t xml:space="preserve"> Georefencia unidad de medida y unidad concentradora</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Cada vez que se instala una unidad de medida y/o unidad concentradora, la orden de trabajo viene con la información de coordenadas x,y (Latitud, Longitud) en grados decimales, junto con información técnica relevante para el provisionamiento  de los equipos en SMMePLUS.</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Unidad de Medida: Las coordenadas son cargadas a través de un archivo de carga denominado “provisioningTemplate.csv”. Los campos requeridos son asociados al punto donde se instala el medidor (cliente).</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drawing>
          <wp:inline distT="0" distB="0" distL="114300" distR="114300">
            <wp:extent cx="4112260" cy="314325"/>
            <wp:effectExtent l="0" t="0" r="2540" b="9525"/>
            <wp:docPr id="109"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70"/>
                    <pic:cNvPicPr>
                      <a:picLocks noChangeAspect="1"/>
                    </pic:cNvPicPr>
                  </pic:nvPicPr>
                  <pic:blipFill>
                    <a:blip r:embed="rId22"/>
                    <a:stretch>
                      <a:fillRect/>
                    </a:stretch>
                  </pic:blipFill>
                  <pic:spPr>
                    <a:xfrm>
                      <a:off x="0" y="0"/>
                      <a:ext cx="4112260" cy="314325"/>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Adicionalmente, se cargan los atributos de las unidades de medida en un archivo “provisioningTemplate(2).csv”. Los campos requeridos son asociados a los atributos del medidor.</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pPr>
      <w:r>
        <w:drawing>
          <wp:inline distT="0" distB="0" distL="114300" distR="114300">
            <wp:extent cx="5608320" cy="193040"/>
            <wp:effectExtent l="0" t="0" r="11430" b="16510"/>
            <wp:docPr id="112"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73"/>
                    <pic:cNvPicPr>
                      <a:picLocks noChangeAspect="1"/>
                    </pic:cNvPicPr>
                  </pic:nvPicPr>
                  <pic:blipFill>
                    <a:blip r:embed="rId23"/>
                    <a:stretch>
                      <a:fillRect/>
                    </a:stretch>
                  </pic:blipFill>
                  <pic:spPr>
                    <a:xfrm>
                      <a:off x="0" y="0"/>
                      <a:ext cx="5608320" cy="193040"/>
                    </a:xfrm>
                    <a:prstGeom prst="rect">
                      <a:avLst/>
                    </a:prstGeom>
                    <a:noFill/>
                    <a:ln>
                      <a:noFill/>
                    </a:ln>
                  </pic:spPr>
                </pic:pic>
              </a:graphicData>
            </a:graphic>
          </wp:inline>
        </w:drawing>
      </w:r>
    </w:p>
    <w:p>
      <w:pPr>
        <w:numPr>
          <w:ilvl w:val="0"/>
          <w:numId w:val="0"/>
        </w:numPr>
        <w:spacing w:line="360" w:lineRule="auto"/>
        <w:ind w:leftChars="0"/>
        <w:jc w:val="both"/>
        <w:rPr>
          <w:rFonts w:hint="default"/>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 xml:space="preserve">Finalmente, se realiza una carga final que relaciona el medidor y cliente en SMMePlus. Esto se realiza a través de un archivo denominado “provisioningTemplate(3).csv”. Los campos requerido son asociados a la vinculación medidor&lt;----&gt;cliente. </w:t>
      </w:r>
    </w:p>
    <w:p>
      <w:pPr>
        <w:numPr>
          <w:ilvl w:val="0"/>
          <w:numId w:val="0"/>
        </w:numPr>
        <w:spacing w:line="360" w:lineRule="auto"/>
        <w:ind w:leftChars="0"/>
        <w:jc w:val="both"/>
        <w:rPr>
          <w:rFonts w:hint="default"/>
          <w:sz w:val="20"/>
          <w:szCs w:val="20"/>
          <w:lang w:val="es-CL"/>
        </w:rPr>
      </w:pPr>
      <w:r>
        <w:drawing>
          <wp:inline distT="0" distB="0" distL="114300" distR="114300">
            <wp:extent cx="1572260" cy="287020"/>
            <wp:effectExtent l="0" t="0" r="8890" b="17780"/>
            <wp:docPr id="11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72"/>
                    <pic:cNvPicPr>
                      <a:picLocks noChangeAspect="1"/>
                    </pic:cNvPicPr>
                  </pic:nvPicPr>
                  <pic:blipFill>
                    <a:blip r:embed="rId24"/>
                    <a:stretch>
                      <a:fillRect/>
                    </a:stretch>
                  </pic:blipFill>
                  <pic:spPr>
                    <a:xfrm>
                      <a:off x="0" y="0"/>
                      <a:ext cx="1572260" cy="287020"/>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Unidad Concentradora:  Las coordenadas son cargadas a través de un archivo de carga denominado “provisioningTemplate (4).csv”. Los campos requeridos son asociados al punto donde se instala la unidad concentradora (transformador).</w:t>
      </w:r>
    </w:p>
    <w:p>
      <w:pPr>
        <w:numPr>
          <w:ilvl w:val="0"/>
          <w:numId w:val="0"/>
        </w:numPr>
        <w:spacing w:line="360" w:lineRule="auto"/>
        <w:ind w:leftChars="0"/>
        <w:jc w:val="both"/>
        <w:rPr>
          <w:rFonts w:hint="default"/>
          <w:sz w:val="20"/>
          <w:szCs w:val="20"/>
          <w:lang w:val="es-CL"/>
        </w:rPr>
      </w:pPr>
      <w:r>
        <w:drawing>
          <wp:inline distT="0" distB="0" distL="114300" distR="114300">
            <wp:extent cx="5606415" cy="325120"/>
            <wp:effectExtent l="0" t="0" r="13335" b="17780"/>
            <wp:docPr id="113"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74"/>
                    <pic:cNvPicPr>
                      <a:picLocks noChangeAspect="1"/>
                    </pic:cNvPicPr>
                  </pic:nvPicPr>
                  <pic:blipFill>
                    <a:blip r:embed="rId25"/>
                    <a:stretch>
                      <a:fillRect/>
                    </a:stretch>
                  </pic:blipFill>
                  <pic:spPr>
                    <a:xfrm>
                      <a:off x="0" y="0"/>
                      <a:ext cx="5606415" cy="325120"/>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Adicionalmente, se crea el nombre de la unidad concentradora, asociándola al transformador de distribución según archivo de carga “provisioningTemplate (5).csv”.</w:t>
      </w:r>
    </w:p>
    <w:p>
      <w:pPr>
        <w:numPr>
          <w:ilvl w:val="0"/>
          <w:numId w:val="0"/>
        </w:numPr>
        <w:spacing w:line="360" w:lineRule="auto"/>
        <w:ind w:leftChars="0"/>
        <w:jc w:val="both"/>
      </w:pPr>
      <w:r>
        <w:drawing>
          <wp:inline distT="0" distB="0" distL="114300" distR="114300">
            <wp:extent cx="2616835" cy="340360"/>
            <wp:effectExtent l="0" t="0" r="12065" b="2540"/>
            <wp:docPr id="114"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75"/>
                    <pic:cNvPicPr>
                      <a:picLocks noChangeAspect="1"/>
                    </pic:cNvPicPr>
                  </pic:nvPicPr>
                  <pic:blipFill>
                    <a:blip r:embed="rId26"/>
                    <a:stretch>
                      <a:fillRect/>
                    </a:stretch>
                  </pic:blipFill>
                  <pic:spPr>
                    <a:xfrm>
                      <a:off x="0" y="0"/>
                      <a:ext cx="2616835" cy="340360"/>
                    </a:xfrm>
                    <a:prstGeom prst="rect">
                      <a:avLst/>
                    </a:prstGeom>
                    <a:noFill/>
                    <a:ln>
                      <a:noFill/>
                    </a:ln>
                  </pic:spPr>
                </pic:pic>
              </a:graphicData>
            </a:graphic>
          </wp:inline>
        </w:drawing>
      </w:r>
    </w:p>
    <w:p>
      <w:pPr>
        <w:numPr>
          <w:ilvl w:val="0"/>
          <w:numId w:val="0"/>
        </w:numPr>
        <w:spacing w:line="360" w:lineRule="auto"/>
        <w:ind w:leftChars="0"/>
        <w:jc w:val="both"/>
        <w:rPr>
          <w:rFonts w:hint="default"/>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Se cargan los atributos de la unidad concentradora a través del archivo de carga “provisioningTemplate (6).csv”.</w:t>
      </w:r>
    </w:p>
    <w:p>
      <w:pPr>
        <w:numPr>
          <w:ilvl w:val="0"/>
          <w:numId w:val="0"/>
        </w:numPr>
        <w:spacing w:line="360" w:lineRule="auto"/>
        <w:ind w:leftChars="0"/>
        <w:jc w:val="both"/>
      </w:pPr>
      <w:r>
        <w:drawing>
          <wp:inline distT="0" distB="0" distL="114300" distR="114300">
            <wp:extent cx="5602605" cy="179070"/>
            <wp:effectExtent l="0" t="0" r="17145" b="11430"/>
            <wp:docPr id="115"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76"/>
                    <pic:cNvPicPr>
                      <a:picLocks noChangeAspect="1"/>
                    </pic:cNvPicPr>
                  </pic:nvPicPr>
                  <pic:blipFill>
                    <a:blip r:embed="rId27"/>
                    <a:stretch>
                      <a:fillRect/>
                    </a:stretch>
                  </pic:blipFill>
                  <pic:spPr>
                    <a:xfrm>
                      <a:off x="0" y="0"/>
                      <a:ext cx="5602605" cy="179070"/>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Se cargan los archivos relacionados a la información de perfil,  módulo de comunicación, entre otros. Para la seleccionando el modulo GPRS integrado o el modulo ethernet, para nuestra solución se considera el módulo ethernet. Esto a través del archivo “provisioningTemplate (7).csv”. Donde se relacionan las componentes.</w:t>
      </w:r>
    </w:p>
    <w:p>
      <w:pPr>
        <w:numPr>
          <w:ilvl w:val="0"/>
          <w:numId w:val="0"/>
        </w:numPr>
        <w:spacing w:line="360" w:lineRule="auto"/>
        <w:ind w:leftChars="0"/>
        <w:jc w:val="both"/>
        <w:rPr>
          <w:rFonts w:hint="default"/>
          <w:sz w:val="20"/>
          <w:szCs w:val="20"/>
          <w:lang w:val="es-CL"/>
        </w:rPr>
      </w:pPr>
      <w:r>
        <w:drawing>
          <wp:inline distT="0" distB="0" distL="114300" distR="114300">
            <wp:extent cx="5599430" cy="172720"/>
            <wp:effectExtent l="0" t="0" r="1270" b="17780"/>
            <wp:docPr id="116"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77"/>
                    <pic:cNvPicPr>
                      <a:picLocks noChangeAspect="1"/>
                    </pic:cNvPicPr>
                  </pic:nvPicPr>
                  <pic:blipFill>
                    <a:blip r:embed="rId28"/>
                    <a:stretch>
                      <a:fillRect/>
                    </a:stretch>
                  </pic:blipFill>
                  <pic:spPr>
                    <a:xfrm>
                      <a:off x="0" y="0"/>
                      <a:ext cx="5599430" cy="172720"/>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Finalmente, los datos quedan alojados en la base de datos central y pudiendo visualizar en la herramienta monitoring del SMMePlus las unidades de medidas y unidades concentradoras georeferenciados en un mapa.</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drawing>
          <wp:inline distT="0" distB="0" distL="114300" distR="114300">
            <wp:extent cx="5611495" cy="3136265"/>
            <wp:effectExtent l="0" t="0" r="8255" b="6985"/>
            <wp:docPr id="117"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78"/>
                    <pic:cNvPicPr>
                      <a:picLocks noChangeAspect="1"/>
                    </pic:cNvPicPr>
                  </pic:nvPicPr>
                  <pic:blipFill>
                    <a:blip r:embed="rId29"/>
                    <a:stretch>
                      <a:fillRect/>
                    </a:stretch>
                  </pic:blipFill>
                  <pic:spPr>
                    <a:xfrm>
                      <a:off x="0" y="0"/>
                      <a:ext cx="5611495" cy="3136265"/>
                    </a:xfrm>
                    <a:prstGeom prst="rect">
                      <a:avLst/>
                    </a:prstGeom>
                    <a:noFill/>
                    <a:ln>
                      <a:noFill/>
                    </a:ln>
                  </pic:spPr>
                </pic:pic>
              </a:graphicData>
            </a:graphic>
          </wp:inline>
        </w:drawing>
      </w:r>
    </w:p>
    <w:p>
      <w:pPr>
        <w:numPr>
          <w:ilvl w:val="0"/>
          <w:numId w:val="0"/>
        </w:numPr>
        <w:spacing w:line="360" w:lineRule="auto"/>
        <w:ind w:leftChars="0"/>
        <w:jc w:val="both"/>
      </w:pPr>
    </w:p>
    <w:p>
      <w:pPr>
        <w:spacing w:line="276" w:lineRule="auto"/>
        <w:jc w:val="both"/>
        <w:rPr>
          <w:rFonts w:hint="default"/>
          <w:sz w:val="20"/>
          <w:szCs w:val="20"/>
          <w:lang w:val="es-CL"/>
        </w:rPr>
      </w:pPr>
    </w:p>
    <w:p>
      <w:pPr>
        <w:spacing w:line="360" w:lineRule="auto"/>
        <w:jc w:val="both"/>
        <w:rPr>
          <w:rFonts w:hint="default" w:ascii="Helvetica Neue Light" w:hAnsi="Helvetica Neue Light" w:eastAsia="Helvetica Neue Light" w:cs="Helvetica Neue Light"/>
          <w:b/>
          <w:sz w:val="20"/>
          <w:szCs w:val="20"/>
          <w:lang w:val="es-CL"/>
        </w:rPr>
      </w:pPr>
      <w:r>
        <w:rPr>
          <w:rFonts w:ascii="Helvetica Neue Light" w:hAnsi="Helvetica Neue Light" w:eastAsia="Helvetica Neue Light" w:cs="Helvetica Neue Light"/>
          <w:b/>
          <w:sz w:val="20"/>
          <w:szCs w:val="20"/>
        </w:rPr>
        <w:t>Descripción</w:t>
      </w:r>
      <w:r>
        <w:rPr>
          <w:rFonts w:hint="default" w:ascii="Helvetica Neue Light" w:hAnsi="Helvetica Neue Light" w:eastAsia="Helvetica Neue Light" w:cs="Helvetica Neue Light"/>
          <w:b/>
          <w:sz w:val="20"/>
          <w:szCs w:val="20"/>
          <w:lang w:val="es-CL"/>
        </w:rPr>
        <w:t xml:space="preserve"> Perfiles de Energías</w:t>
      </w:r>
    </w:p>
    <w:p>
      <w:pPr>
        <w:spacing w:line="360" w:lineRule="auto"/>
        <w:jc w:val="both"/>
        <w:rPr>
          <w:rFonts w:hint="default" w:ascii="Helvetica Neue Light" w:hAnsi="Helvetica Neue Light" w:eastAsia="Helvetica Neue Light" w:cs="Helvetica Neue Light"/>
          <w:b/>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En la recoleccion de datos de las unidades de medidas por parte de SMMePlus, se obtiene las siguiente información:</w:t>
      </w:r>
    </w:p>
    <w:p>
      <w:pPr>
        <w:numPr>
          <w:ilvl w:val="0"/>
          <w:numId w:val="4"/>
        </w:numPr>
        <w:spacing w:line="360" w:lineRule="auto"/>
        <w:ind w:left="420" w:leftChars="0" w:hanging="420" w:firstLineChars="0"/>
        <w:jc w:val="both"/>
        <w:rPr>
          <w:rFonts w:hint="default"/>
          <w:sz w:val="20"/>
          <w:szCs w:val="20"/>
          <w:lang w:val="es-CL"/>
        </w:rPr>
      </w:pPr>
      <w:r>
        <w:rPr>
          <w:rFonts w:hint="default"/>
          <w:sz w:val="20"/>
          <w:szCs w:val="20"/>
          <w:lang w:val="es-CL"/>
        </w:rPr>
        <w:t>Events</w:t>
      </w:r>
    </w:p>
    <w:p>
      <w:pPr>
        <w:numPr>
          <w:ilvl w:val="0"/>
          <w:numId w:val="4"/>
        </w:numPr>
        <w:spacing w:line="360" w:lineRule="auto"/>
        <w:ind w:left="420" w:leftChars="0" w:hanging="420" w:firstLineChars="0"/>
        <w:jc w:val="both"/>
        <w:rPr>
          <w:rFonts w:hint="default"/>
          <w:sz w:val="20"/>
          <w:szCs w:val="20"/>
          <w:lang w:val="es-CL"/>
        </w:rPr>
      </w:pPr>
      <w:r>
        <w:rPr>
          <w:rFonts w:hint="default"/>
          <w:sz w:val="20"/>
          <w:szCs w:val="20"/>
          <w:lang w:val="es-CL"/>
        </w:rPr>
        <w:t>Readings</w:t>
      </w:r>
    </w:p>
    <w:p>
      <w:pPr>
        <w:numPr>
          <w:ilvl w:val="0"/>
          <w:numId w:val="4"/>
        </w:numPr>
        <w:spacing w:line="360" w:lineRule="auto"/>
        <w:ind w:left="420" w:leftChars="0" w:hanging="420" w:firstLineChars="0"/>
        <w:jc w:val="both"/>
        <w:rPr>
          <w:rFonts w:hint="default"/>
          <w:sz w:val="20"/>
          <w:szCs w:val="20"/>
          <w:lang w:val="es-CL"/>
        </w:rPr>
      </w:pPr>
      <w:r>
        <w:rPr>
          <w:rFonts w:hint="default"/>
          <w:sz w:val="20"/>
          <w:szCs w:val="20"/>
          <w:lang w:val="es-CL"/>
        </w:rPr>
        <w:t>Load profiles</w:t>
      </w:r>
    </w:p>
    <w:p>
      <w:pPr>
        <w:numPr>
          <w:ilvl w:val="0"/>
          <w:numId w:val="4"/>
        </w:numPr>
        <w:spacing w:line="360" w:lineRule="auto"/>
        <w:ind w:left="420" w:leftChars="0" w:hanging="420" w:firstLineChars="0"/>
        <w:jc w:val="both"/>
        <w:rPr>
          <w:rFonts w:hint="default"/>
          <w:sz w:val="20"/>
          <w:szCs w:val="20"/>
          <w:lang w:val="es-CL"/>
        </w:rPr>
      </w:pPr>
      <w:r>
        <w:rPr>
          <w:rFonts w:hint="default"/>
          <w:sz w:val="20"/>
          <w:szCs w:val="20"/>
          <w:lang w:val="es-CL"/>
        </w:rPr>
        <w:t>Alarms</w:t>
      </w:r>
    </w:p>
    <w:p>
      <w:pPr>
        <w:numPr>
          <w:ilvl w:val="0"/>
          <w:numId w:val="4"/>
        </w:numPr>
        <w:spacing w:line="360" w:lineRule="auto"/>
        <w:ind w:left="420" w:leftChars="0" w:hanging="420" w:firstLineChars="0"/>
        <w:jc w:val="both"/>
        <w:rPr>
          <w:rFonts w:hint="default"/>
          <w:sz w:val="20"/>
          <w:szCs w:val="20"/>
          <w:lang w:val="es-CL"/>
        </w:rPr>
      </w:pPr>
      <w:r>
        <w:rPr>
          <w:rFonts w:hint="default"/>
          <w:sz w:val="20"/>
          <w:szCs w:val="20"/>
          <w:lang w:val="es-CL"/>
        </w:rPr>
        <w:t>Voltage variation</w:t>
      </w:r>
    </w:p>
    <w:p>
      <w:pPr>
        <w:numPr>
          <w:ilvl w:val="0"/>
          <w:numId w:val="4"/>
        </w:numPr>
        <w:spacing w:line="360" w:lineRule="auto"/>
        <w:ind w:left="420" w:leftChars="0" w:hanging="420" w:firstLineChars="0"/>
        <w:jc w:val="both"/>
        <w:rPr>
          <w:rFonts w:hint="default"/>
          <w:sz w:val="20"/>
          <w:szCs w:val="20"/>
          <w:lang w:val="es-CL"/>
        </w:rPr>
      </w:pPr>
      <w:r>
        <w:rPr>
          <w:rFonts w:hint="default"/>
          <w:sz w:val="20"/>
          <w:szCs w:val="20"/>
          <w:lang w:val="es-CL"/>
        </w:rPr>
        <w:t>Voltage interruption</w:t>
      </w:r>
    </w:p>
    <w:p>
      <w:pPr>
        <w:numPr>
          <w:ilvl w:val="0"/>
          <w:numId w:val="4"/>
        </w:numPr>
        <w:spacing w:line="360" w:lineRule="auto"/>
        <w:ind w:left="420" w:leftChars="0" w:hanging="420" w:firstLineChars="0"/>
        <w:jc w:val="both"/>
        <w:rPr>
          <w:rFonts w:hint="default"/>
          <w:sz w:val="20"/>
          <w:szCs w:val="20"/>
          <w:lang w:val="es-CL"/>
        </w:rPr>
      </w:pPr>
      <w:r>
        <w:rPr>
          <w:rFonts w:hint="default"/>
          <w:sz w:val="20"/>
          <w:szCs w:val="20"/>
          <w:lang w:val="es-CL"/>
        </w:rPr>
        <w:t>Measurands</w:t>
      </w:r>
    </w:p>
    <w:p>
      <w:pPr>
        <w:spacing w:line="360" w:lineRule="auto"/>
        <w:jc w:val="both"/>
        <w:rPr>
          <w:rFonts w:hint="default" w:ascii="Helvetica Neue Light" w:hAnsi="Helvetica Neue Light" w:eastAsia="Helvetica Neue Light" w:cs="Helvetica Neue Light"/>
          <w:b w:val="0"/>
          <w:bCs/>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Particularmente, para las variables exigidas por el AT2019, tales como: Energía Activa Consumida, Energía Reactiva Consumida, Energía Activa inyectada y Energía Reactiva inyectada; son perfiles definidos en SMMePlus y recolectadas en las archivos de Readings (Daily Closure) y Load Profile (Curva de Carga).</w:t>
      </w:r>
    </w:p>
    <w:p>
      <w:pPr>
        <w:numPr>
          <w:ilvl w:val="0"/>
          <w:numId w:val="0"/>
        </w:numPr>
        <w:spacing w:line="360" w:lineRule="auto"/>
        <w:ind w:leftChars="0"/>
        <w:jc w:val="both"/>
        <w:rPr>
          <w:rFonts w:hint="default"/>
          <w:sz w:val="20"/>
          <w:szCs w:val="20"/>
          <w:lang w:val="es-CL"/>
        </w:rPr>
      </w:pPr>
      <w:r>
        <w:rPr>
          <w:rFonts w:hint="default"/>
          <w:sz w:val="20"/>
          <w:szCs w:val="20"/>
          <w:lang w:val="es-CL"/>
        </w:rPr>
        <w:t xml:space="preserve">Los perfiles de DC y LP son seteados en SMMePlus en el Procedure Parameters: </w:t>
      </w:r>
    </w:p>
    <w:p>
      <w:pPr>
        <w:spacing w:line="360" w:lineRule="auto"/>
        <w:jc w:val="both"/>
        <w:rPr>
          <w:rFonts w:hint="default" w:ascii="Helvetica Neue Light" w:hAnsi="Helvetica Neue Light" w:eastAsia="Helvetica Neue Light" w:cs="Helvetica Neue Light"/>
          <w:b w:val="0"/>
          <w:bCs/>
          <w:sz w:val="20"/>
          <w:szCs w:val="20"/>
          <w:lang w:val="es-CL"/>
        </w:rPr>
      </w:pPr>
      <w:r>
        <w:drawing>
          <wp:inline distT="0" distB="0" distL="114300" distR="114300">
            <wp:extent cx="1296035" cy="1296035"/>
            <wp:effectExtent l="0" t="0" r="18415" b="18415"/>
            <wp:docPr id="11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79"/>
                    <pic:cNvPicPr>
                      <a:picLocks noChangeAspect="1"/>
                    </pic:cNvPicPr>
                  </pic:nvPicPr>
                  <pic:blipFill>
                    <a:blip r:embed="rId30"/>
                    <a:stretch>
                      <a:fillRect/>
                    </a:stretch>
                  </pic:blipFill>
                  <pic:spPr>
                    <a:xfrm>
                      <a:off x="0" y="0"/>
                      <a:ext cx="1296035" cy="1296035"/>
                    </a:xfrm>
                    <a:prstGeom prst="rect">
                      <a:avLst/>
                    </a:prstGeom>
                    <a:noFill/>
                    <a:ln>
                      <a:noFill/>
                    </a:ln>
                  </pic:spPr>
                </pic:pic>
              </a:graphicData>
            </a:graphic>
          </wp:inline>
        </w:drawing>
      </w:r>
    </w:p>
    <w:p>
      <w:pPr>
        <w:spacing w:line="360" w:lineRule="auto"/>
        <w:jc w:val="both"/>
        <w:rPr>
          <w:rFonts w:hint="default" w:ascii="Helvetica Neue Light" w:hAnsi="Helvetica Neue Light" w:eastAsia="Helvetica Neue Light" w:cs="Helvetica Neue Light"/>
          <w:b w:val="0"/>
          <w:bCs/>
          <w:sz w:val="20"/>
          <w:szCs w:val="20"/>
          <w:lang w:val="es-CL"/>
        </w:rPr>
      </w:pPr>
    </w:p>
    <w:p>
      <w:pPr>
        <w:spacing w:line="360" w:lineRule="auto"/>
        <w:jc w:val="both"/>
        <w:rPr>
          <w:rFonts w:hint="default" w:ascii="Helvetica Neue Light" w:hAnsi="Helvetica Neue Light" w:eastAsia="Helvetica Neue Light" w:cs="Helvetica Neue Light"/>
          <w:b w:val="0"/>
          <w:bCs/>
          <w:sz w:val="20"/>
          <w:szCs w:val="20"/>
          <w:lang w:val="es-CL"/>
        </w:rPr>
      </w:pPr>
      <w:r>
        <w:rPr>
          <w:rFonts w:hint="default"/>
          <w:sz w:val="20"/>
          <w:szCs w:val="20"/>
          <w:lang w:val="es-CL"/>
        </w:rPr>
        <w:t>Las variables habilitadas para el Perfil de Daily closure son:</w:t>
      </w:r>
    </w:p>
    <w:p>
      <w:pPr>
        <w:spacing w:line="360" w:lineRule="auto"/>
        <w:jc w:val="both"/>
      </w:pPr>
      <w:r>
        <w:drawing>
          <wp:inline distT="0" distB="0" distL="114300" distR="114300">
            <wp:extent cx="1595755" cy="3275965"/>
            <wp:effectExtent l="0" t="0" r="4445" b="635"/>
            <wp:docPr id="12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80"/>
                    <pic:cNvPicPr>
                      <a:picLocks noChangeAspect="1"/>
                    </pic:cNvPicPr>
                  </pic:nvPicPr>
                  <pic:blipFill>
                    <a:blip r:embed="rId31"/>
                    <a:stretch>
                      <a:fillRect/>
                    </a:stretch>
                  </pic:blipFill>
                  <pic:spPr>
                    <a:xfrm>
                      <a:off x="0" y="0"/>
                      <a:ext cx="1595755" cy="3275965"/>
                    </a:xfrm>
                    <a:prstGeom prst="rect">
                      <a:avLst/>
                    </a:prstGeom>
                    <a:noFill/>
                    <a:ln>
                      <a:noFill/>
                    </a:ln>
                  </pic:spPr>
                </pic:pic>
              </a:graphicData>
            </a:graphic>
          </wp:inline>
        </w:drawing>
      </w:r>
    </w:p>
    <w:p>
      <w:pPr>
        <w:spacing w:line="360" w:lineRule="auto"/>
        <w:jc w:val="both"/>
        <w:rPr>
          <w:rFonts w:hint="default" w:ascii="Helvetica Neue Light" w:hAnsi="Helvetica Neue Light" w:eastAsia="Helvetica Neue Light" w:cs="Helvetica Neue Light"/>
          <w:b w:val="0"/>
          <w:bCs/>
          <w:sz w:val="20"/>
          <w:szCs w:val="20"/>
          <w:lang w:val="es-CL"/>
        </w:rPr>
      </w:pPr>
      <w:r>
        <w:rPr>
          <w:rFonts w:hint="default" w:ascii="Helvetica Neue Light" w:hAnsi="Helvetica Neue Light" w:eastAsia="Helvetica Neue Light" w:cs="Helvetica Neue Light"/>
          <w:b w:val="0"/>
          <w:bCs/>
          <w:sz w:val="20"/>
          <w:szCs w:val="20"/>
          <w:lang w:val="es-CL"/>
        </w:rPr>
        <w:t>L</w:t>
      </w:r>
      <w:r>
        <w:rPr>
          <w:rFonts w:hint="default"/>
          <w:sz w:val="20"/>
          <w:szCs w:val="20"/>
          <w:lang w:val="es-CL"/>
        </w:rPr>
        <w:t>as variables habilitadas para el Perfil de curva de carga (LP)  son:</w:t>
      </w:r>
    </w:p>
    <w:p>
      <w:pPr>
        <w:spacing w:line="360" w:lineRule="auto"/>
        <w:jc w:val="both"/>
      </w:pPr>
      <w:r>
        <w:drawing>
          <wp:inline distT="0" distB="0" distL="114300" distR="114300">
            <wp:extent cx="1514475" cy="4343400"/>
            <wp:effectExtent l="0" t="0" r="9525" b="0"/>
            <wp:docPr id="12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81"/>
                    <pic:cNvPicPr>
                      <a:picLocks noChangeAspect="1"/>
                    </pic:cNvPicPr>
                  </pic:nvPicPr>
                  <pic:blipFill>
                    <a:blip r:embed="rId32"/>
                    <a:stretch>
                      <a:fillRect/>
                    </a:stretch>
                  </pic:blipFill>
                  <pic:spPr>
                    <a:xfrm>
                      <a:off x="0" y="0"/>
                      <a:ext cx="1514475" cy="4343400"/>
                    </a:xfrm>
                    <a:prstGeom prst="rect">
                      <a:avLst/>
                    </a:prstGeom>
                    <a:noFill/>
                    <a:ln>
                      <a:noFill/>
                    </a:ln>
                  </pic:spPr>
                </pic:pic>
              </a:graphicData>
            </a:graphic>
          </wp:inline>
        </w:drawing>
      </w:r>
    </w:p>
    <w:p>
      <w:pPr>
        <w:spacing w:line="360" w:lineRule="auto"/>
        <w:jc w:val="both"/>
      </w:pPr>
    </w:p>
    <w:p>
      <w:pPr>
        <w:spacing w:line="360" w:lineRule="auto"/>
        <w:jc w:val="both"/>
        <w:rPr>
          <w:rFonts w:hint="default"/>
          <w:sz w:val="20"/>
          <w:szCs w:val="20"/>
          <w:lang w:val="es-CL"/>
        </w:rPr>
      </w:pPr>
      <w:r>
        <w:rPr>
          <w:rFonts w:hint="default"/>
          <w:sz w:val="20"/>
          <w:szCs w:val="20"/>
          <w:lang w:val="es-CL"/>
        </w:rPr>
        <w:t>Entonces, los medidores que se habiliten con estos perfiles serán identificados consultando la base de datos de medidor con el perfil de Curva de Carga y Daily Closure.</w:t>
      </w:r>
    </w:p>
    <w:p>
      <w:pPr>
        <w:spacing w:line="360" w:lineRule="auto"/>
        <w:jc w:val="both"/>
        <w:rPr>
          <w:rFonts w:hint="default"/>
          <w:sz w:val="20"/>
          <w:szCs w:val="20"/>
          <w:lang w:val="es-CL"/>
        </w:rPr>
      </w:pPr>
      <w:r>
        <w:rPr>
          <w:sz w:val="20"/>
          <w:szCs w:val="20"/>
        </w:rPr>
        <w:drawing>
          <wp:inline distT="0" distB="0" distL="114300" distR="114300">
            <wp:extent cx="5606415" cy="878840"/>
            <wp:effectExtent l="0" t="0" r="13335" b="16510"/>
            <wp:docPr id="1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82"/>
                    <pic:cNvPicPr>
                      <a:picLocks noChangeAspect="1"/>
                    </pic:cNvPicPr>
                  </pic:nvPicPr>
                  <pic:blipFill>
                    <a:blip r:embed="rId33"/>
                    <a:stretch>
                      <a:fillRect/>
                    </a:stretch>
                  </pic:blipFill>
                  <pic:spPr>
                    <a:xfrm>
                      <a:off x="0" y="0"/>
                      <a:ext cx="5606415" cy="878840"/>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En particular, los archivos recibidos para la Energía Activa Consumida, Energía Reactiva Consumida, Energía Activa inyectada y Energía Reactiva inyectada,  cada 15 minutos (curva de carga) se obtienen del registro denominado “S_Año-Mes-Día.csv”, según el CIMCODE establecido:</w:t>
      </w:r>
    </w:p>
    <w:p>
      <w:pPr>
        <w:numPr>
          <w:ilvl w:val="0"/>
          <w:numId w:val="0"/>
        </w:numPr>
        <w:spacing w:line="360" w:lineRule="auto"/>
        <w:ind w:leftChars="0"/>
        <w:jc w:val="both"/>
        <w:rPr>
          <w:rFonts w:hint="default"/>
          <w:sz w:val="20"/>
          <w:szCs w:val="20"/>
          <w:lang w:val="es-CL"/>
        </w:rPr>
      </w:pPr>
      <w:r>
        <w:drawing>
          <wp:inline distT="0" distB="0" distL="114300" distR="114300">
            <wp:extent cx="5372100" cy="2457450"/>
            <wp:effectExtent l="0" t="0" r="0" b="0"/>
            <wp:docPr id="12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87"/>
                    <pic:cNvPicPr>
                      <a:picLocks noChangeAspect="1"/>
                    </pic:cNvPicPr>
                  </pic:nvPicPr>
                  <pic:blipFill>
                    <a:blip r:embed="rId34"/>
                    <a:stretch>
                      <a:fillRect/>
                    </a:stretch>
                  </pic:blipFill>
                  <pic:spPr>
                    <a:xfrm>
                      <a:off x="0" y="0"/>
                      <a:ext cx="5372100" cy="2457450"/>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r>
        <w:rPr>
          <w:rFonts w:hint="default"/>
          <w:sz w:val="20"/>
          <w:szCs w:val="20"/>
          <w:lang w:val="es-CL"/>
        </w:rPr>
        <w:drawing>
          <wp:inline distT="0" distB="0" distL="114300" distR="114300">
            <wp:extent cx="5610860" cy="2269490"/>
            <wp:effectExtent l="0" t="0" r="8890" b="16510"/>
            <wp:docPr id="12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84"/>
                    <pic:cNvPicPr>
                      <a:picLocks noChangeAspect="1"/>
                    </pic:cNvPicPr>
                  </pic:nvPicPr>
                  <pic:blipFill>
                    <a:blip r:embed="rId35"/>
                    <a:stretch>
                      <a:fillRect/>
                    </a:stretch>
                  </pic:blipFill>
                  <pic:spPr>
                    <a:xfrm>
                      <a:off x="0" y="0"/>
                      <a:ext cx="5610860" cy="2269490"/>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r>
        <w:rPr>
          <w:rFonts w:hint="default"/>
          <w:sz w:val="20"/>
          <w:szCs w:val="20"/>
          <w:lang w:val="es-CL"/>
        </w:rPr>
        <w:drawing>
          <wp:inline distT="0" distB="0" distL="114300" distR="114300">
            <wp:extent cx="5610860" cy="2269490"/>
            <wp:effectExtent l="0" t="0" r="8890" b="16510"/>
            <wp:docPr id="12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85"/>
                    <pic:cNvPicPr>
                      <a:picLocks noChangeAspect="1"/>
                    </pic:cNvPicPr>
                  </pic:nvPicPr>
                  <pic:blipFill>
                    <a:blip r:embed="rId36"/>
                    <a:stretch>
                      <a:fillRect/>
                    </a:stretch>
                  </pic:blipFill>
                  <pic:spPr>
                    <a:xfrm>
                      <a:off x="0" y="0"/>
                      <a:ext cx="5610860" cy="2269490"/>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r>
        <w:rPr>
          <w:rFonts w:hint="default"/>
          <w:sz w:val="20"/>
          <w:szCs w:val="20"/>
          <w:lang w:val="es-CL"/>
        </w:rPr>
        <w:t>Para lo registros obtenidos en el archivo de Daily Closure (DC), estos vienen en el siguiente formato:</w:t>
      </w:r>
    </w:p>
    <w:p>
      <w:pPr>
        <w:numPr>
          <w:ilvl w:val="0"/>
          <w:numId w:val="0"/>
        </w:numPr>
        <w:spacing w:line="360" w:lineRule="auto"/>
        <w:ind w:leftChars="0"/>
        <w:jc w:val="both"/>
        <w:rPr>
          <w:rFonts w:hint="default"/>
          <w:sz w:val="20"/>
          <w:szCs w:val="20"/>
          <w:lang w:val="es-CL"/>
        </w:rPr>
      </w:pPr>
      <w:r>
        <w:rPr>
          <w:rFonts w:hint="default"/>
          <w:sz w:val="20"/>
          <w:szCs w:val="20"/>
          <w:lang w:val="es-CL"/>
        </w:rPr>
        <w:drawing>
          <wp:inline distT="0" distB="0" distL="114300" distR="114300">
            <wp:extent cx="5603875" cy="895985"/>
            <wp:effectExtent l="0" t="0" r="15875" b="18415"/>
            <wp:docPr id="12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86"/>
                    <pic:cNvPicPr>
                      <a:picLocks noChangeAspect="1"/>
                    </pic:cNvPicPr>
                  </pic:nvPicPr>
                  <pic:blipFill>
                    <a:blip r:embed="rId37"/>
                    <a:stretch>
                      <a:fillRect/>
                    </a:stretch>
                  </pic:blipFill>
                  <pic:spPr>
                    <a:xfrm>
                      <a:off x="0" y="0"/>
                      <a:ext cx="5603875" cy="895985"/>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Los archivos recibidos para la Energía Activa Consumida, Energía Reactiva Consumida, Energía Activa inyectada y Energía Reactiva inyectada considerada como instantánea (Daily Closure) para el proceso de Billing,  están definido con los  CIMCODE de la siguiente manera:</w:t>
      </w:r>
    </w:p>
    <w:p>
      <w:pPr>
        <w:numPr>
          <w:ilvl w:val="0"/>
          <w:numId w:val="0"/>
        </w:numPr>
        <w:spacing w:line="360" w:lineRule="auto"/>
        <w:ind w:leftChars="0"/>
        <w:jc w:val="both"/>
      </w:pPr>
      <w:r>
        <w:drawing>
          <wp:inline distT="0" distB="0" distL="114300" distR="114300">
            <wp:extent cx="5362575" cy="4019550"/>
            <wp:effectExtent l="0" t="0" r="9525" b="0"/>
            <wp:docPr id="12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88"/>
                    <pic:cNvPicPr>
                      <a:picLocks noChangeAspect="1"/>
                    </pic:cNvPicPr>
                  </pic:nvPicPr>
                  <pic:blipFill>
                    <a:blip r:embed="rId38"/>
                    <a:stretch>
                      <a:fillRect/>
                    </a:stretch>
                  </pic:blipFill>
                  <pic:spPr>
                    <a:xfrm>
                      <a:off x="0" y="0"/>
                      <a:ext cx="5362575" cy="4019550"/>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Se registran las energías por tramos horarios (t1,t2,t3,t4,t5,t6) y  la energía total, siendo:</w:t>
      </w:r>
    </w:p>
    <w:p>
      <w:pPr>
        <w:numPr>
          <w:ilvl w:val="0"/>
          <w:numId w:val="0"/>
        </w:numPr>
        <w:spacing w:line="360" w:lineRule="auto"/>
        <w:ind w:leftChars="0"/>
        <w:jc w:val="both"/>
        <w:rPr>
          <w:rFonts w:hint="default"/>
          <w:sz w:val="20"/>
          <w:szCs w:val="20"/>
          <w:lang w:val="es-CL"/>
        </w:rPr>
      </w:pPr>
      <w:r>
        <w:rPr>
          <w:rFonts w:hint="default"/>
          <w:sz w:val="20"/>
          <w:szCs w:val="20"/>
          <w:lang w:val="es-CL"/>
        </w:rPr>
        <w:t>t1+t2+t3+t4+t5+t6=TOTAL</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Estas variables también se  visualizan en el medidor a través de  los Energía Object definidos por los códigos OBIS. Estos definidos por la siguiente arquitectura según documentos”Definición de Perfiles Distribuidoras Eléctricas_v1.3_Enel.doc” y  “Definición perfil Chile_Enel.ppt”</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pPr>
      <w:r>
        <w:drawing>
          <wp:inline distT="0" distB="0" distL="114300" distR="114300">
            <wp:extent cx="5607685" cy="2361565"/>
            <wp:effectExtent l="0" t="0" r="12065" b="635"/>
            <wp:docPr id="12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89"/>
                    <pic:cNvPicPr>
                      <a:picLocks noChangeAspect="1"/>
                    </pic:cNvPicPr>
                  </pic:nvPicPr>
                  <pic:blipFill>
                    <a:blip r:embed="rId39"/>
                    <a:stretch>
                      <a:fillRect/>
                    </a:stretch>
                  </pic:blipFill>
                  <pic:spPr>
                    <a:xfrm>
                      <a:off x="0" y="0"/>
                      <a:ext cx="5607685" cy="2361565"/>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r>
        <w:rPr>
          <w:rFonts w:hint="default"/>
          <w:sz w:val="20"/>
          <w:szCs w:val="20"/>
          <w:lang w:val="es-CL"/>
        </w:rPr>
        <w:t>Visualización en display:</w:t>
      </w:r>
    </w:p>
    <w:p>
      <w:pPr>
        <w:numPr>
          <w:ilvl w:val="0"/>
          <w:numId w:val="0"/>
        </w:numPr>
        <w:spacing w:line="360" w:lineRule="auto"/>
        <w:ind w:leftChars="0"/>
        <w:jc w:val="both"/>
      </w:pPr>
      <w:r>
        <w:drawing>
          <wp:inline distT="0" distB="0" distL="114300" distR="114300">
            <wp:extent cx="5610860" cy="3280410"/>
            <wp:effectExtent l="0" t="0" r="8890" b="15240"/>
            <wp:docPr id="13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90"/>
                    <pic:cNvPicPr>
                      <a:picLocks noChangeAspect="1"/>
                    </pic:cNvPicPr>
                  </pic:nvPicPr>
                  <pic:blipFill>
                    <a:blip r:embed="rId40"/>
                    <a:stretch>
                      <a:fillRect/>
                    </a:stretch>
                  </pic:blipFill>
                  <pic:spPr>
                    <a:xfrm>
                      <a:off x="0" y="0"/>
                      <a:ext cx="5610860" cy="3280410"/>
                    </a:xfrm>
                    <a:prstGeom prst="rect">
                      <a:avLst/>
                    </a:prstGeom>
                    <a:noFill/>
                    <a:ln>
                      <a:noFill/>
                    </a:ln>
                  </pic:spPr>
                </pic:pic>
              </a:graphicData>
            </a:graphic>
          </wp:inline>
        </w:drawing>
      </w:r>
    </w:p>
    <w:p>
      <w:pPr>
        <w:numPr>
          <w:ilvl w:val="0"/>
          <w:numId w:val="0"/>
        </w:numPr>
        <w:spacing w:line="360" w:lineRule="auto"/>
        <w:ind w:leftChars="0"/>
        <w:jc w:val="both"/>
      </w:pPr>
    </w:p>
    <w:p>
      <w:pPr>
        <w:numPr>
          <w:ilvl w:val="0"/>
          <w:numId w:val="0"/>
        </w:numPr>
        <w:spacing w:line="360" w:lineRule="auto"/>
        <w:ind w:leftChars="0"/>
        <w:jc w:val="both"/>
      </w:pPr>
      <w:r>
        <w:drawing>
          <wp:inline distT="0" distB="0" distL="114300" distR="114300">
            <wp:extent cx="5605145" cy="2971165"/>
            <wp:effectExtent l="0" t="0" r="14605" b="635"/>
            <wp:docPr id="13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91"/>
                    <pic:cNvPicPr>
                      <a:picLocks noChangeAspect="1"/>
                    </pic:cNvPicPr>
                  </pic:nvPicPr>
                  <pic:blipFill>
                    <a:blip r:embed="rId41"/>
                    <a:stretch>
                      <a:fillRect/>
                    </a:stretch>
                  </pic:blipFill>
                  <pic:spPr>
                    <a:xfrm>
                      <a:off x="0" y="0"/>
                      <a:ext cx="5605145" cy="2971165"/>
                    </a:xfrm>
                    <a:prstGeom prst="rect">
                      <a:avLst/>
                    </a:prstGeom>
                    <a:noFill/>
                    <a:ln>
                      <a:noFill/>
                    </a:ln>
                  </pic:spPr>
                </pic:pic>
              </a:graphicData>
            </a:graphic>
          </wp:inline>
        </w:drawing>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 xml:space="preserve">Finalmente, tenemos desarrollos basados en Big Data Analytics que permiten detectar lecturas anómalas tales como: </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 Lecturas en retroceso.</w:t>
      </w:r>
    </w:p>
    <w:p>
      <w:pPr>
        <w:numPr>
          <w:ilvl w:val="0"/>
          <w:numId w:val="0"/>
        </w:numPr>
        <w:spacing w:line="360" w:lineRule="auto"/>
        <w:ind w:leftChars="0"/>
        <w:jc w:val="both"/>
        <w:rPr>
          <w:rFonts w:hint="default"/>
          <w:sz w:val="20"/>
          <w:szCs w:val="20"/>
          <w:lang w:val="es-CL"/>
        </w:rPr>
      </w:pPr>
      <w:r>
        <w:rPr>
          <w:rFonts w:hint="default"/>
          <w:sz w:val="20"/>
          <w:szCs w:val="20"/>
          <w:lang w:val="es-CL"/>
        </w:rPr>
        <w:t>- Lecturas distintas en tramos.</w:t>
      </w:r>
    </w:p>
    <w:p>
      <w:pPr>
        <w:numPr>
          <w:ilvl w:val="0"/>
          <w:numId w:val="0"/>
        </w:numPr>
        <w:spacing w:line="360" w:lineRule="auto"/>
        <w:ind w:leftChars="0"/>
        <w:jc w:val="both"/>
        <w:rPr>
          <w:rFonts w:hint="default"/>
          <w:sz w:val="20"/>
          <w:szCs w:val="20"/>
          <w:lang w:val="es-CL"/>
        </w:rPr>
      </w:pPr>
      <w:r>
        <w:rPr>
          <w:rFonts w:hint="default"/>
          <w:sz w:val="20"/>
          <w:szCs w:val="20"/>
          <w:lang w:val="es-CL"/>
        </w:rPr>
        <w:t>- Lecturas en tramos y total en cero.</w:t>
      </w:r>
    </w:p>
    <w:p>
      <w:pPr>
        <w:numPr>
          <w:ilvl w:val="0"/>
          <w:numId w:val="0"/>
        </w:numPr>
        <w:spacing w:line="360" w:lineRule="auto"/>
        <w:ind w:leftChars="0"/>
        <w:jc w:val="both"/>
        <w:rPr>
          <w:rFonts w:hint="default"/>
          <w:sz w:val="20"/>
          <w:szCs w:val="20"/>
          <w:lang w:val="es-CL"/>
        </w:rPr>
      </w:pPr>
      <w:r>
        <w:rPr>
          <w:rFonts w:hint="default"/>
          <w:sz w:val="20"/>
          <w:szCs w:val="20"/>
          <w:lang w:val="es-CL"/>
        </w:rPr>
        <w:t>- Detección de inyección no autorizada.</w:t>
      </w:r>
    </w:p>
    <w:p>
      <w:pPr>
        <w:numPr>
          <w:ilvl w:val="0"/>
          <w:numId w:val="0"/>
        </w:numPr>
        <w:spacing w:line="360" w:lineRule="auto"/>
        <w:ind w:leftChars="0"/>
        <w:jc w:val="both"/>
        <w:rPr>
          <w:rFonts w:hint="default"/>
          <w:sz w:val="20"/>
          <w:szCs w:val="20"/>
          <w:lang w:val="es-CL"/>
        </w:rPr>
      </w:pPr>
    </w:p>
    <w:p>
      <w:pPr>
        <w:numPr>
          <w:ilvl w:val="0"/>
          <w:numId w:val="0"/>
        </w:numPr>
        <w:spacing w:line="360" w:lineRule="auto"/>
        <w:ind w:leftChars="0"/>
        <w:jc w:val="both"/>
        <w:rPr>
          <w:rFonts w:hint="default"/>
          <w:sz w:val="20"/>
          <w:szCs w:val="20"/>
          <w:lang w:val="es-CL"/>
        </w:rPr>
      </w:pPr>
      <w:r>
        <w:rPr>
          <w:rFonts w:hint="default"/>
          <w:sz w:val="20"/>
          <w:szCs w:val="20"/>
          <w:lang w:val="es-CL"/>
        </w:rPr>
        <w:t>Combinando la base comercial de clientes que contiene toda la información contractual: tipo de tarifa, capacidad empalme, estado de suministro, si es cliente con inyección, tipo de medidor, dirección, coordenadas, información de contacto, entre otros y los registros obtenidos de energía (inyección y suministrada),  se realizan los análisis de la información verificando si se esta cometiendo algún tipo de hurto, inyecciones de energia no autorizada o un mal funcionamiento de la unidad de medida, lo cual se inicia un proceso  de inspección y normalización del caso.</w:t>
      </w:r>
    </w:p>
    <w:p>
      <w:pPr>
        <w:numPr>
          <w:ilvl w:val="0"/>
          <w:numId w:val="0"/>
        </w:numPr>
        <w:spacing w:line="360" w:lineRule="auto"/>
        <w:ind w:leftChars="0"/>
        <w:jc w:val="both"/>
        <w:rPr>
          <w:rFonts w:hint="default"/>
          <w:sz w:val="20"/>
          <w:szCs w:val="20"/>
          <w:lang w:val="es-CL"/>
        </w:rPr>
      </w:pPr>
      <w:r>
        <w:rPr>
          <w:rFonts w:hint="default"/>
          <w:sz w:val="20"/>
          <w:szCs w:val="20"/>
          <w:lang w:val="es-CL"/>
        </w:rPr>
        <w:t>Para aquellos clientes con Inyección Autorizados, se identifican con una marca en el sistema comercial el cual es denominado como “Netbilling”.</w:t>
      </w:r>
    </w:p>
    <w:p>
      <w:pPr>
        <w:numPr>
          <w:ilvl w:val="0"/>
          <w:numId w:val="0"/>
        </w:numPr>
        <w:spacing w:line="360" w:lineRule="auto"/>
        <w:ind w:leftChars="0"/>
        <w:jc w:val="left"/>
        <w:rPr>
          <w:rFonts w:hint="default"/>
          <w:sz w:val="20"/>
          <w:szCs w:val="20"/>
          <w:lang w:val="es-CL"/>
        </w:rPr>
      </w:pPr>
    </w:p>
    <w:p>
      <w:pPr>
        <w:numPr>
          <w:ilvl w:val="0"/>
          <w:numId w:val="0"/>
        </w:numPr>
        <w:spacing w:line="360" w:lineRule="auto"/>
        <w:ind w:leftChars="0"/>
        <w:jc w:val="center"/>
        <w:rPr>
          <w:rFonts w:hint="default"/>
          <w:sz w:val="32"/>
          <w:szCs w:val="32"/>
          <w:lang w:val="es-CL"/>
        </w:rPr>
      </w:pPr>
    </w:p>
    <w:p>
      <w:pPr>
        <w:numPr>
          <w:ilvl w:val="0"/>
          <w:numId w:val="0"/>
        </w:numPr>
        <w:spacing w:line="360" w:lineRule="auto"/>
        <w:ind w:leftChars="0"/>
        <w:jc w:val="center"/>
        <w:rPr>
          <w:rFonts w:hint="default"/>
          <w:sz w:val="32"/>
          <w:szCs w:val="32"/>
          <w:lang w:val="es-CL"/>
        </w:rPr>
      </w:pPr>
    </w:p>
    <w:p>
      <w:pPr>
        <w:numPr>
          <w:ilvl w:val="0"/>
          <w:numId w:val="0"/>
        </w:numPr>
        <w:spacing w:line="360" w:lineRule="auto"/>
        <w:ind w:leftChars="0"/>
        <w:jc w:val="center"/>
        <w:rPr>
          <w:rFonts w:hint="default"/>
          <w:sz w:val="32"/>
          <w:szCs w:val="32"/>
          <w:lang w:val="es-CL"/>
        </w:rPr>
      </w:pPr>
    </w:p>
    <w:p>
      <w:pPr>
        <w:numPr>
          <w:ilvl w:val="0"/>
          <w:numId w:val="0"/>
        </w:numPr>
        <w:spacing w:line="360" w:lineRule="auto"/>
        <w:ind w:leftChars="0"/>
        <w:jc w:val="center"/>
        <w:rPr>
          <w:sz w:val="32"/>
          <w:szCs w:val="32"/>
        </w:rPr>
      </w:pPr>
      <w:bookmarkStart w:id="0" w:name="_GoBack"/>
      <w:bookmarkEnd w:id="0"/>
      <w:r>
        <w:rPr>
          <w:rFonts w:hint="default"/>
          <w:sz w:val="32"/>
          <w:szCs w:val="32"/>
          <w:lang w:val="es-CL"/>
        </w:rPr>
        <w:t>-FIN DE DOCUME</w:t>
      </w:r>
      <w:r>
        <w:rPr>
          <w:sz w:val="32"/>
          <w:szCs w:val="32"/>
        </w:rPr>
        <w:t>NTO-</w:t>
      </w:r>
    </w:p>
    <w:sectPr>
      <w:headerReference r:id="rId5" w:type="first"/>
      <w:footerReference r:id="rId8" w:type="first"/>
      <w:headerReference r:id="rId3" w:type="default"/>
      <w:footerReference r:id="rId6" w:type="default"/>
      <w:headerReference r:id="rId4" w:type="even"/>
      <w:footerReference r:id="rId7" w:type="even"/>
      <w:pgSz w:w="12240" w:h="15840"/>
      <w:pgMar w:top="1417" w:right="1701" w:bottom="1417" w:left="170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Neue Light">
    <w:altName w:val="Times New Roman"/>
    <w:panose1 w:val="00000000000000000000"/>
    <w:charset w:val="00"/>
    <w:family w:val="auto"/>
    <w:pitch w:val="default"/>
    <w:sig w:usb0="00000000" w:usb1="00000000" w:usb2="00000000" w:usb3="00000000" w:csb0="00000000" w:csb1="00000000"/>
  </w:font>
  <w:font w:name="Noto Sans Symbols">
    <w:altName w:val="Times New Roman"/>
    <w:panose1 w:val="00000000000000000000"/>
    <w:charset w:val="00"/>
    <w:family w:val="auto"/>
    <w:pitch w:val="default"/>
    <w:sig w:usb0="00000000" w:usb1="00000000" w:usb2="00000000" w:usb3="00000000" w:csb0="00000000" w:csb1="00000000"/>
  </w:font>
  <w:font w:name="Helvetica Light">
    <w:altName w:val="AMGDT"/>
    <w:panose1 w:val="00000000000000000000"/>
    <w:charset w:val="00"/>
    <w:family w:val="swiss"/>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 w:name="Calibri Light">
    <w:panose1 w:val="020F0302020204030204"/>
    <w:charset w:val="00"/>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TimesNewRomanPS-BoldMT">
    <w:altName w:val="AMGDT"/>
    <w:panose1 w:val="00000000000000000000"/>
    <w:charset w:val="00"/>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Symbol">
    <w:panose1 w:val="05050102010706020507"/>
    <w:charset w:val="02"/>
    <w:family w:val="roman"/>
    <w:pitch w:val="default"/>
    <w:sig w:usb0="00000000" w:usb1="00000000" w:usb2="00000000" w:usb3="00000000" w:csb0="80000000" w:csb1="00000000"/>
  </w:font>
  <w:font w:name="Microsoft JhengHei U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rFonts w:ascii="Helvetica Neue Light" w:hAnsi="Helvetica Neue Light" w:eastAsia="Helvetica Neue Light" w:cs="Helvetica Neue Light"/>
        <w:color w:val="000000"/>
        <w:sz w:val="18"/>
        <w:szCs w:val="18"/>
      </w:rPr>
    </w:pPr>
    <w:r>
      <w:rPr>
        <w:rFonts w:ascii="Helvetica Neue Light" w:hAnsi="Helvetica Neue Light" w:eastAsia="Helvetica Neue Light" w:cs="Helvetica Neue Light"/>
        <w:color w:val="000000"/>
        <w:sz w:val="18"/>
        <w:szCs w:val="18"/>
      </w:rPr>
      <w:t xml:space="preserve">Página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PAGE</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6</w:t>
    </w:r>
    <w:r>
      <w:rPr>
        <w:rFonts w:ascii="Helvetica Neue Light" w:hAnsi="Helvetica Neue Light" w:eastAsia="Helvetica Neue Light" w:cs="Helvetica Neue Light"/>
        <w:color w:val="000000"/>
        <w:sz w:val="18"/>
        <w:szCs w:val="18"/>
      </w:rPr>
      <w:fldChar w:fldCharType="end"/>
    </w:r>
    <w:r>
      <w:rPr>
        <w:rFonts w:ascii="Helvetica Neue Light" w:hAnsi="Helvetica Neue Light" w:eastAsia="Helvetica Neue Light" w:cs="Helvetica Neue Light"/>
        <w:color w:val="000000"/>
        <w:sz w:val="18"/>
        <w:szCs w:val="18"/>
      </w:rPr>
      <w:t xml:space="preserve"> de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NUMPAGES</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22</w:t>
    </w:r>
    <w:r>
      <w:rPr>
        <w:rFonts w:ascii="Helvetica Neue Light" w:hAnsi="Helvetica Neue Light" w:eastAsia="Helvetica Neue Light" w:cs="Helvetica Neue Light"/>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end"/>
    </w:r>
  </w:p>
  <w:p>
    <w:pP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276" w:lineRule="auto"/>
      <w:rPr>
        <w:sz w:val="32"/>
        <w:szCs w:val="32"/>
      </w:rPr>
    </w:pPr>
    <w:r>
      <w:rPr>
        <w:sz w:val="32"/>
        <w:szCs w:val="32"/>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190500</wp:posOffset>
              </wp:positionV>
              <wp:extent cx="7772400" cy="266700"/>
              <wp:effectExtent l="0" t="0" r="0" b="0"/>
              <wp:wrapNone/>
              <wp:docPr id="3" name="MSIPCM82874d27a449fef604493526" descr="{&quot;HashCode&quot;:160087524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wps:spPr>
                    <wps:txbx>
                      <w:txbxContent>
                        <w:p>
                          <w:pPr>
                            <w:jc w:val="center"/>
                            <w:rPr>
                              <w:rFonts w:ascii="Arial" w:hAnsi="Arial" w:cs="Arial"/>
                              <w:color w:val="000000"/>
                              <w:sz w:val="16"/>
                            </w:rPr>
                          </w:pPr>
                          <w:r>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id="MSIPCM82874d27a449fef604493526" o:spid="_x0000_s1026" o:spt="202" alt="{&quot;HashCode&quot;:1600875240,&quot;Height&quot;:792.0,&quot;Width&quot;:612.0,&quot;Placement&quot;:&quot;Header&quot;,&quot;Index&quot;:&quot;Primary&quot;,&quot;Section&quot;:1,&quot;Top&quot;:0.0,&quot;Left&quot;:0.0}" type="#_x0000_t202" style="position:absolute;left:0pt;margin-left:0pt;margin-top:15pt;height:21pt;width:612pt;mso-position-horizontal-relative:page;mso-position-vertical-relative:page;z-index:251660288;mso-width-relative:page;mso-height-relative:page;" filled="f" stroked="f" coordsize="21600,21600" o:allowincell="f" o:gfxdata="UEsDBAoAAAAAAIdO4kAAAAAAAAAAAAAAAAAEAAAAZHJzL1BLAwQUAAAACACHTuJA72pattQAAAAH&#10;AQAADwAAAGRycy9kb3ducmV2LnhtbE2PwU7DMAyG70i8Q2QkbixZQRS6pjuAdkFComMXblnjtRWJ&#10;UzVZW94e7wQn2/qtz5/L7eKdmHCMfSAN65UCgdQE21Or4fC5u3sCEZMha1wg1PCDEbbV9VVpChtm&#10;qnHap1YwhGJhNHQpDYWUsenQm7gKAxJnpzB6k3gcW2lHMzPcO5kp9Si96YkvdGbAlw6b7/3ZM+X5&#10;9W1J7/lHiK7ezZP/OuT1oPXtzVptQCRc0t8yXPRZHSp2OoYz2SicBn4kabhXXC9plj1wd9SQZwpk&#10;Vcr//tUvUEsDBBQAAAAIAIdO4kBZ6hglpwIAAFoFAAAOAAAAZHJzL2Uyb0RvYy54bWytVEtv2zAM&#10;vg/YfxB02GmLH03tNKtTZCm6FUjXAOnQsyJLsQBZUiWlcTbsv4/yI31shx52sSmS+kh+Inl+0dQS&#10;PTLrhFYFTkYxRkxRXQq1LfCPu6tPE4ycJ6okUitW4ANz+GL2/t353kxZqistS2YRgCg33ZsCV96b&#10;aRQ5WrGauJE2TIGRa1sTD0e7jUpL9oBeyyiN4yzaa1saqylzDrSXnRH3iPYtgJpzQdmlpruaKd+h&#10;WiaJh5JcJYzDszZbzhn1t5w75pEsMFTq2y8EAXkTvtHsnEy3lphK0D4F8pYUXtVUE6Eg6BHqkniC&#10;dlb8BVULarXT3I+orqOukJYRqCKJX3GzrohhbS1AtTNH0t3/g6XfH1cWibLAJxgpUsOD36yvV4ub&#10;STrJx2Wak/H4jDOexfA/OU0zjErmKDD468PDTvvP34irFrpk3WmaZHE8yU/TcfyxtzOxrXxvzc/S&#10;0WC4F6Wven2WPOlXklAW3rW3DTAE2q6Te+RrVbLmhdPKiprYwwuvNbQAtEXvl/R377TpNfExoSXj&#10;Q0xQ/g6tsTduCgytDXDkmy+6gYEZ9A6U4cUbbuvwh7dEYIfGOhwbizUeUVDmeQ6MgImCLc2yHGSA&#10;j55uG+v8V6ZrFIQCW8i67SfyuHS+cx1cQjClr4SUbfNKhfYFzk5O4/bC0QLgUkGMUEOXa5B8s2n6&#10;wja6PEBdVndD4Qy9EhB8SZxfEQtTAPnCnvC38OFSQxDdSxhV2v78lz74Q3OCFaM9TFWB3cOOWIaR&#10;vFbQtmfJeAywvj2AYJ9rN4NW7eqFhoFNYBMZ2orB18tB5FbX97BG5iEamIiiELPAfhAXvptxWEOU&#10;zeetEwycIX6p1oYG6I7G+c5rLlqGAz0dJz1rMHLtG/XrIcz083Pr9bQSZ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72pattQAAAAHAQAADwAAAAAAAAABACAAAAAiAAAAZHJzL2Rvd25yZXYueG1s&#10;UEsBAhQAFAAAAAgAh07iQFnqGCWnAgAAWgUAAA4AAAAAAAAAAQAgAAAAIwEAAGRycy9lMm9Eb2Mu&#10;eG1sUEsFBgAAAAAGAAYAWQEAADwGAAAAAA==&#10;">
              <v:fill on="f" focussize="0,0"/>
              <v:stroke on="f" weight="0.5pt"/>
              <v:imagedata o:title=""/>
              <o:lock v:ext="edit" aspectratio="f"/>
              <v:textbox inset="2.54mm,0mm,2.54mm,0mm">
                <w:txbxContent>
                  <w:p>
                    <w:pPr>
                      <w:jc w:val="center"/>
                      <w:rPr>
                        <w:rFonts w:ascii="Arial" w:hAnsi="Arial" w:cs="Arial"/>
                        <w:color w:val="000000"/>
                        <w:sz w:val="16"/>
                      </w:rPr>
                    </w:pPr>
                    <w:r>
                      <w:rPr>
                        <w:rFonts w:ascii="Arial" w:hAnsi="Arial" w:cs="Arial"/>
                        <w:color w:val="000000"/>
                        <w:sz w:val="16"/>
                      </w:rPr>
                      <w:t>INTERNAL</w:t>
                    </w:r>
                  </w:p>
                </w:txbxContent>
              </v:textbox>
            </v:shape>
          </w:pict>
        </mc:Fallback>
      </mc:AlternateContent>
    </w:r>
  </w:p>
  <w:tbl>
    <w:tblPr>
      <w:tblStyle w:val="36"/>
      <w:tblW w:w="8828" w:type="dxa"/>
      <w:jc w:val="center"/>
      <w:tblLayout w:type="fixed"/>
      <w:tblCellMar>
        <w:top w:w="66" w:type="dxa"/>
        <w:left w:w="71" w:type="dxa"/>
        <w:bottom w:w="22" w:type="dxa"/>
        <w:right w:w="47" w:type="dxa"/>
      </w:tblCellMar>
    </w:tblPr>
    <w:tblGrid>
      <w:gridCol w:w="1326"/>
      <w:gridCol w:w="1750"/>
      <w:gridCol w:w="989"/>
      <w:gridCol w:w="1887"/>
      <w:gridCol w:w="1341"/>
      <w:gridCol w:w="1535"/>
    </w:tblGrid>
    <w:tr>
      <w:tblPrEx>
        <w:tblCellMar>
          <w:top w:w="66" w:type="dxa"/>
          <w:left w:w="71" w:type="dxa"/>
          <w:bottom w:w="22" w:type="dxa"/>
          <w:right w:w="47" w:type="dxa"/>
        </w:tblCellMar>
      </w:tblPrEx>
      <w:trPr>
        <w:trHeight w:val="20" w:hRule="atLeast"/>
        <w:jc w:val="center"/>
      </w:trPr>
      <w:tc>
        <w:tcPr>
          <w:tcW w:w="1326" w:type="dxa"/>
          <w:vMerge w:val="restart"/>
          <w:tcBorders>
            <w:top w:val="single" w:color="000000" w:sz="4" w:space="0"/>
            <w:left w:val="single" w:color="000000" w:sz="4" w:space="0"/>
            <w:bottom w:val="single" w:color="000000" w:sz="4" w:space="0"/>
            <w:right w:val="single" w:color="000000" w:sz="4" w:space="0"/>
          </w:tcBorders>
          <w:vAlign w:val="center"/>
        </w:tcPr>
        <w:p>
          <w:pPr>
            <w:spacing w:line="259" w:lineRule="auto"/>
            <w:ind w:right="66"/>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drawing>
              <wp:inline distT="0" distB="0" distL="0" distR="0">
                <wp:extent cx="725170" cy="389890"/>
                <wp:effectExtent l="0" t="0" r="0" b="0"/>
                <wp:docPr id="1541359687" name="image4.png"/>
                <wp:cNvGraphicFramePr/>
                <a:graphic xmlns:a="http://schemas.openxmlformats.org/drawingml/2006/main">
                  <a:graphicData uri="http://schemas.openxmlformats.org/drawingml/2006/picture">
                    <pic:pic xmlns:pic="http://schemas.openxmlformats.org/drawingml/2006/picture">
                      <pic:nvPicPr>
                        <pic:cNvPr id="1541359687" name="image4.png"/>
                        <pic:cNvPicPr preferRelativeResize="0"/>
                      </pic:nvPicPr>
                      <pic:blipFill>
                        <a:blip r:embed="rId1"/>
                        <a:srcRect/>
                        <a:stretch>
                          <a:fillRect/>
                        </a:stretch>
                      </pic:blipFill>
                      <pic:spPr>
                        <a:xfrm>
                          <a:off x="0" y="0"/>
                          <a:ext cx="725170" cy="389890"/>
                        </a:xfrm>
                        <a:prstGeom prst="rect">
                          <a:avLst/>
                        </a:prstGeom>
                      </pic:spPr>
                    </pic:pic>
                  </a:graphicData>
                </a:graphic>
              </wp:inline>
            </w:drawing>
          </w:r>
        </w:p>
      </w:tc>
      <w:tc>
        <w:tcPr>
          <w:tcW w:w="2739"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left="42"/>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Enel Distribución Chile</w:t>
          </w:r>
        </w:p>
      </w:tc>
      <w:tc>
        <w:tcPr>
          <w:tcW w:w="3228"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 Infraestructura Avanzada de Medición</w:t>
          </w:r>
        </w:p>
      </w:tc>
      <w:tc>
        <w:tcPr>
          <w:tcW w:w="1535" w:type="dxa"/>
          <w:tcBorders>
            <w:top w:val="single" w:color="000000" w:sz="4" w:space="0"/>
            <w:left w:val="single" w:color="000000" w:sz="4" w:space="0"/>
            <w:bottom w:val="single" w:color="000000" w:sz="4" w:space="0"/>
            <w:right w:val="single" w:color="000000" w:sz="4" w:space="0"/>
          </w:tcBorders>
          <w:vAlign w:val="center"/>
        </w:tcPr>
        <w:p>
          <w:pPr>
            <w:spacing w:line="259" w:lineRule="auto"/>
            <w:ind w:left="47"/>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ID documento:</w:t>
          </w:r>
        </w:p>
        <w:p>
          <w:pPr>
            <w:spacing w:line="259" w:lineRule="auto"/>
            <w:ind w:right="33"/>
            <w:jc w:val="center"/>
            <w:rPr>
              <w:rFonts w:hint="default" w:ascii="Helvetica Neue Light" w:hAnsi="Helvetica Neue Light" w:eastAsia="Helvetica Neue Light" w:cs="Helvetica Neue Light"/>
              <w:sz w:val="18"/>
              <w:szCs w:val="18"/>
              <w:lang w:val="es-CL"/>
            </w:rPr>
          </w:pPr>
          <w:r>
            <w:rPr>
              <w:rFonts w:hint="default" w:ascii="Helvetica Neue Light" w:hAnsi="Helvetica Neue Light" w:eastAsia="Helvetica Neue Light" w:cs="Helvetica Neue Light"/>
              <w:sz w:val="18"/>
              <w:szCs w:val="18"/>
              <w:lang w:val="es-CL"/>
            </w:rPr>
            <w:t>ID-002</w:t>
          </w:r>
        </w:p>
      </w:tc>
    </w:tr>
    <w:tr>
      <w:tblPrEx>
        <w:tblCellMar>
          <w:top w:w="66" w:type="dxa"/>
          <w:left w:w="71" w:type="dxa"/>
          <w:bottom w:w="22" w:type="dxa"/>
          <w:right w:w="47" w:type="dxa"/>
        </w:tblCellMar>
      </w:tblPrEx>
      <w:trPr>
        <w:trHeight w:val="20" w:hRule="atLeast"/>
        <w:jc w:val="center"/>
      </w:trPr>
      <w:tc>
        <w:tcPr>
          <w:tcW w:w="1326" w:type="dxa"/>
          <w:vMerge w:val="continue"/>
          <w:tcBorders>
            <w:top w:val="single" w:color="000000" w:sz="4" w:space="0"/>
            <w:left w:val="single" w:color="000000" w:sz="4" w:space="0"/>
            <w:bottom w:val="single" w:color="000000" w:sz="4" w:space="0"/>
            <w:right w:val="single" w:color="000000" w:sz="4" w:space="0"/>
          </w:tcBorders>
          <w:vAlign w:val="center"/>
        </w:tcPr>
        <w:p>
          <w:pPr>
            <w:widowControl w:val="0"/>
            <w:spacing w:line="276" w:lineRule="auto"/>
            <w:rPr>
              <w:rFonts w:ascii="Helvetica Neue Light" w:hAnsi="Helvetica Neue Light" w:eastAsia="Helvetica Neue Light" w:cs="Helvetica Neue Light"/>
              <w:sz w:val="18"/>
              <w:szCs w:val="18"/>
            </w:rPr>
          </w:pPr>
        </w:p>
      </w:tc>
      <w:tc>
        <w:tcPr>
          <w:tcW w:w="7502" w:type="dxa"/>
          <w:gridSpan w:val="5"/>
          <w:tcBorders>
            <w:top w:val="single" w:color="000000" w:sz="4" w:space="0"/>
            <w:left w:val="single" w:color="000000" w:sz="4" w:space="0"/>
            <w:bottom w:val="single" w:color="000000" w:sz="4" w:space="0"/>
            <w:right w:val="single" w:color="000000" w:sz="4" w:space="0"/>
          </w:tcBorders>
          <w:vAlign w:val="center"/>
        </w:tcPr>
        <w:p>
          <w:pPr>
            <w:spacing w:line="259" w:lineRule="auto"/>
            <w:jc w:val="center"/>
            <w:rPr>
              <w:rFonts w:hint="default" w:ascii="Helvetica Neue Light" w:hAnsi="Helvetica Neue Light" w:eastAsia="Helvetica Neue Light" w:cs="Helvetica Neue Light"/>
              <w:sz w:val="18"/>
              <w:szCs w:val="18"/>
              <w:lang w:val="es-CL"/>
            </w:rPr>
          </w:pPr>
          <w:r>
            <w:rPr>
              <w:rFonts w:ascii="Helvetica Neue Light" w:hAnsi="Helvetica Neue Light" w:eastAsia="Helvetica Neue Light" w:cs="Helvetica Neue Light"/>
              <w:sz w:val="18"/>
              <w:szCs w:val="18"/>
            </w:rPr>
            <w:t xml:space="preserve">Título: </w:t>
          </w:r>
          <w:r>
            <w:rPr>
              <w:rFonts w:hint="default" w:ascii="Helvetica Neue Light" w:hAnsi="Helvetica Neue Light" w:eastAsia="Helvetica Neue Light" w:cs="Helvetica Neue Light"/>
              <w:sz w:val="18"/>
              <w:szCs w:val="18"/>
              <w:lang w:val="es-CL"/>
            </w:rPr>
            <w:t>Carasterísticas Funcionales  SMMC</w:t>
          </w:r>
        </w:p>
      </w:tc>
    </w:tr>
    <w:tr>
      <w:tblPrEx>
        <w:tblCellMar>
          <w:top w:w="66" w:type="dxa"/>
          <w:left w:w="71" w:type="dxa"/>
          <w:bottom w:w="22" w:type="dxa"/>
          <w:right w:w="47" w:type="dxa"/>
        </w:tblCellMar>
      </w:tblPrEx>
      <w:trPr>
        <w:trHeight w:val="20" w:hRule="atLeast"/>
        <w:jc w:val="center"/>
      </w:trPr>
      <w:tc>
        <w:tcPr>
          <w:tcW w:w="30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right="18"/>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Especialista a cargo:</w:t>
          </w:r>
        </w:p>
      </w:tc>
      <w:tc>
        <w:tcPr>
          <w:tcW w:w="28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right="32"/>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Autor:</w:t>
          </w:r>
        </w:p>
      </w:tc>
      <w:tc>
        <w:tcPr>
          <w:tcW w:w="28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right="32"/>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Revisado por:</w:t>
          </w:r>
        </w:p>
      </w:tc>
    </w:tr>
    <w:tr>
      <w:trPr>
        <w:trHeight w:val="20" w:hRule="atLeast"/>
        <w:jc w:val="center"/>
      </w:trPr>
      <w:tc>
        <w:tcPr>
          <w:tcW w:w="30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left="1"/>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Patricio Figueroa</w:t>
          </w:r>
        </w:p>
      </w:tc>
      <w:tc>
        <w:tcPr>
          <w:tcW w:w="28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left="1"/>
            <w:jc w:val="center"/>
            <w:rPr>
              <w:rFonts w:hint="default" w:ascii="Helvetica Neue Light" w:hAnsi="Helvetica Neue Light" w:eastAsia="Helvetica Neue Light" w:cs="Helvetica Neue Light"/>
              <w:sz w:val="18"/>
              <w:szCs w:val="18"/>
              <w:lang w:val="es-CL"/>
            </w:rPr>
          </w:pPr>
          <w:r>
            <w:rPr>
              <w:rFonts w:hint="default" w:ascii="Helvetica Neue Light" w:hAnsi="Helvetica Neue Light" w:eastAsia="Helvetica Neue Light" w:cs="Helvetica Neue Light"/>
              <w:sz w:val="18"/>
              <w:szCs w:val="18"/>
              <w:lang w:val="es-CL"/>
            </w:rPr>
            <w:t>Patricio Figueroa</w:t>
          </w:r>
        </w:p>
      </w:tc>
      <w:tc>
        <w:tcPr>
          <w:tcW w:w="28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jc w:val="both"/>
            <w:rPr>
              <w:rFonts w:ascii="Helvetica Neue Light" w:hAnsi="Helvetica Neue Light" w:eastAsia="Helvetica Neue Light" w:cs="Helvetica Neue Light"/>
              <w:sz w:val="18"/>
              <w:szCs w:val="18"/>
            </w:rPr>
          </w:pPr>
        </w:p>
      </w:tc>
    </w:tr>
  </w:tbl>
  <w:p>
    <w:pP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B61B55"/>
    <w:multiLevelType w:val="singleLevel"/>
    <w:tmpl w:val="D1B61B55"/>
    <w:lvl w:ilvl="0" w:tentative="0">
      <w:start w:val="1"/>
      <w:numFmt w:val="decimal"/>
      <w:lvlText w:val="%1."/>
      <w:lvlJc w:val="left"/>
      <w:pPr>
        <w:tabs>
          <w:tab w:val="left" w:pos="425"/>
        </w:tabs>
        <w:ind w:left="425" w:leftChars="0" w:hanging="425" w:firstLineChars="0"/>
      </w:pPr>
      <w:rPr>
        <w:rFonts w:hint="default"/>
      </w:rPr>
    </w:lvl>
  </w:abstractNum>
  <w:abstractNum w:abstractNumId="1">
    <w:nsid w:val="02F2C956"/>
    <w:multiLevelType w:val="singleLevel"/>
    <w:tmpl w:val="02F2C9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6AA8CE5"/>
    <w:multiLevelType w:val="singleLevel"/>
    <w:tmpl w:val="26AA8CE5"/>
    <w:lvl w:ilvl="0" w:tentative="0">
      <w:start w:val="1"/>
      <w:numFmt w:val="decimal"/>
      <w:suff w:val="space"/>
      <w:lvlText w:val="%1."/>
      <w:lvlJc w:val="left"/>
      <w:pPr>
        <w:ind w:left="420"/>
      </w:pPr>
    </w:lvl>
  </w:abstractNum>
  <w:abstractNum w:abstractNumId="3">
    <w:nsid w:val="72D8F3CF"/>
    <w:multiLevelType w:val="singleLevel"/>
    <w:tmpl w:val="72D8F3CF"/>
    <w:lvl w:ilvl="0" w:tentative="0">
      <w:start w:val="1"/>
      <w:numFmt w:val="decimal"/>
      <w:suff w:val="space"/>
      <w:lvlText w:val="%1."/>
      <w:lvlJc w:val="left"/>
      <w:pPr>
        <w:ind w:left="42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A18"/>
    <w:rsid w:val="00013BF7"/>
    <w:rsid w:val="00034A06"/>
    <w:rsid w:val="00035C23"/>
    <w:rsid w:val="0009576F"/>
    <w:rsid w:val="000A0FAB"/>
    <w:rsid w:val="000B57B2"/>
    <w:rsid w:val="000C2B07"/>
    <w:rsid w:val="0015111E"/>
    <w:rsid w:val="00187A18"/>
    <w:rsid w:val="001E6A00"/>
    <w:rsid w:val="00203C73"/>
    <w:rsid w:val="00222432"/>
    <w:rsid w:val="00227FBE"/>
    <w:rsid w:val="00252F83"/>
    <w:rsid w:val="002769F7"/>
    <w:rsid w:val="00281B42"/>
    <w:rsid w:val="002A4629"/>
    <w:rsid w:val="002F58B6"/>
    <w:rsid w:val="003423CB"/>
    <w:rsid w:val="00343244"/>
    <w:rsid w:val="00355F3F"/>
    <w:rsid w:val="003B7039"/>
    <w:rsid w:val="003B7B25"/>
    <w:rsid w:val="003E07AF"/>
    <w:rsid w:val="00415A0B"/>
    <w:rsid w:val="00435896"/>
    <w:rsid w:val="00440DFF"/>
    <w:rsid w:val="0048035D"/>
    <w:rsid w:val="004A1C2E"/>
    <w:rsid w:val="004B13B2"/>
    <w:rsid w:val="004C0F8C"/>
    <w:rsid w:val="004E2FA4"/>
    <w:rsid w:val="004F15B1"/>
    <w:rsid w:val="00584904"/>
    <w:rsid w:val="0059509B"/>
    <w:rsid w:val="005E4C05"/>
    <w:rsid w:val="0069235B"/>
    <w:rsid w:val="006A7668"/>
    <w:rsid w:val="006B33EB"/>
    <w:rsid w:val="006B66E0"/>
    <w:rsid w:val="006C2313"/>
    <w:rsid w:val="006E6CBD"/>
    <w:rsid w:val="0072108E"/>
    <w:rsid w:val="00726EB2"/>
    <w:rsid w:val="00756BF3"/>
    <w:rsid w:val="007650D8"/>
    <w:rsid w:val="0077512D"/>
    <w:rsid w:val="007C2686"/>
    <w:rsid w:val="007C2EEF"/>
    <w:rsid w:val="007D7123"/>
    <w:rsid w:val="007E2427"/>
    <w:rsid w:val="008058FA"/>
    <w:rsid w:val="00823279"/>
    <w:rsid w:val="00890B44"/>
    <w:rsid w:val="0089343B"/>
    <w:rsid w:val="008D34C0"/>
    <w:rsid w:val="008D53D7"/>
    <w:rsid w:val="00921702"/>
    <w:rsid w:val="009255DB"/>
    <w:rsid w:val="009449F4"/>
    <w:rsid w:val="009745FF"/>
    <w:rsid w:val="009B167B"/>
    <w:rsid w:val="009C6395"/>
    <w:rsid w:val="00A27FC3"/>
    <w:rsid w:val="00A3713D"/>
    <w:rsid w:val="00AF299F"/>
    <w:rsid w:val="00AF37FD"/>
    <w:rsid w:val="00B12A41"/>
    <w:rsid w:val="00B14F11"/>
    <w:rsid w:val="00B214B5"/>
    <w:rsid w:val="00B27D67"/>
    <w:rsid w:val="00B56CC2"/>
    <w:rsid w:val="00BD08A0"/>
    <w:rsid w:val="00C060F8"/>
    <w:rsid w:val="00C10759"/>
    <w:rsid w:val="00C114F6"/>
    <w:rsid w:val="00CB096E"/>
    <w:rsid w:val="00CC0124"/>
    <w:rsid w:val="00CD6F4A"/>
    <w:rsid w:val="00D1092D"/>
    <w:rsid w:val="00D32671"/>
    <w:rsid w:val="00D57D7A"/>
    <w:rsid w:val="00DA5410"/>
    <w:rsid w:val="00DB13D4"/>
    <w:rsid w:val="00DF1283"/>
    <w:rsid w:val="00DF55B4"/>
    <w:rsid w:val="00E04E88"/>
    <w:rsid w:val="00E20F28"/>
    <w:rsid w:val="00E4423A"/>
    <w:rsid w:val="00E475BD"/>
    <w:rsid w:val="00E507B9"/>
    <w:rsid w:val="00E520B3"/>
    <w:rsid w:val="00EA42C2"/>
    <w:rsid w:val="00EB440A"/>
    <w:rsid w:val="00EE0604"/>
    <w:rsid w:val="00EF5522"/>
    <w:rsid w:val="00F35551"/>
    <w:rsid w:val="00F42451"/>
    <w:rsid w:val="00F4764A"/>
    <w:rsid w:val="00F57190"/>
    <w:rsid w:val="00FB27D2"/>
    <w:rsid w:val="03BA4561"/>
    <w:rsid w:val="0D327D2C"/>
    <w:rsid w:val="0EA130CB"/>
    <w:rsid w:val="10BD4098"/>
    <w:rsid w:val="10E72BFC"/>
    <w:rsid w:val="123268A2"/>
    <w:rsid w:val="1461538C"/>
    <w:rsid w:val="15787AC5"/>
    <w:rsid w:val="17325CF1"/>
    <w:rsid w:val="1AC72D11"/>
    <w:rsid w:val="1B776477"/>
    <w:rsid w:val="1CEC0E98"/>
    <w:rsid w:val="1D77317B"/>
    <w:rsid w:val="1F4413AC"/>
    <w:rsid w:val="202E5770"/>
    <w:rsid w:val="20D25F98"/>
    <w:rsid w:val="212C1168"/>
    <w:rsid w:val="21E05A3D"/>
    <w:rsid w:val="222A6DB2"/>
    <w:rsid w:val="225730C0"/>
    <w:rsid w:val="23A53E27"/>
    <w:rsid w:val="2A36616B"/>
    <w:rsid w:val="2B1C47AD"/>
    <w:rsid w:val="303470B3"/>
    <w:rsid w:val="352D1727"/>
    <w:rsid w:val="36D8514C"/>
    <w:rsid w:val="392F1A99"/>
    <w:rsid w:val="3AB371BA"/>
    <w:rsid w:val="3EB11A11"/>
    <w:rsid w:val="40F34DB5"/>
    <w:rsid w:val="47253C52"/>
    <w:rsid w:val="4F8401C6"/>
    <w:rsid w:val="5CFC61AC"/>
    <w:rsid w:val="5E417E91"/>
    <w:rsid w:val="62D1665E"/>
    <w:rsid w:val="6496536E"/>
    <w:rsid w:val="651C2086"/>
    <w:rsid w:val="65453A95"/>
    <w:rsid w:val="6B7D13B1"/>
    <w:rsid w:val="6E6E7BA1"/>
    <w:rsid w:val="6EDC11E1"/>
    <w:rsid w:val="70285FA9"/>
    <w:rsid w:val="70996A41"/>
    <w:rsid w:val="73485BEE"/>
    <w:rsid w:val="74693E3C"/>
    <w:rsid w:val="772C48BE"/>
    <w:rsid w:val="79F5240E"/>
    <w:rsid w:val="7B1254B4"/>
    <w:rsid w:val="7D4027BD"/>
    <w:rsid w:val="7FEE7BE5"/>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s-CL" w:eastAsia="es-CL"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0" w:type="dxa"/>
        <w:bottom w:w="0" w:type="dxa"/>
        <w:right w:w="100" w:type="dxa"/>
      </w:tblCellMar>
    </w:tblPr>
  </w:style>
  <w:style w:type="character" w:styleId="10">
    <w:name w:val="annotation reference"/>
    <w:basedOn w:val="8"/>
    <w:semiHidden/>
    <w:unhideWhenUsed/>
    <w:qFormat/>
    <w:uiPriority w:val="99"/>
    <w:rPr>
      <w:sz w:val="16"/>
      <w:szCs w:val="16"/>
    </w:rPr>
  </w:style>
  <w:style w:type="character" w:styleId="11">
    <w:name w:val="page number"/>
    <w:basedOn w:val="8"/>
    <w:semiHidden/>
    <w:unhideWhenUsed/>
    <w:qFormat/>
    <w:uiPriority w:val="99"/>
  </w:style>
  <w:style w:type="paragraph" w:styleId="12">
    <w:name w:val="annotation subject"/>
    <w:basedOn w:val="13"/>
    <w:next w:val="13"/>
    <w:link w:val="39"/>
    <w:semiHidden/>
    <w:unhideWhenUsed/>
    <w:uiPriority w:val="99"/>
    <w:rPr>
      <w:b/>
      <w:bCs/>
    </w:rPr>
  </w:style>
  <w:style w:type="paragraph" w:styleId="13">
    <w:name w:val="annotation text"/>
    <w:basedOn w:val="1"/>
    <w:link w:val="37"/>
    <w:semiHidden/>
    <w:unhideWhenUsed/>
    <w:qFormat/>
    <w:uiPriority w:val="99"/>
    <w:rPr>
      <w:sz w:val="20"/>
      <w:szCs w:val="20"/>
    </w:rPr>
  </w:style>
  <w:style w:type="paragraph" w:styleId="14">
    <w:name w:val="Balloon Text"/>
    <w:basedOn w:val="1"/>
    <w:link w:val="38"/>
    <w:semiHidden/>
    <w:unhideWhenUsed/>
    <w:qFormat/>
    <w:uiPriority w:val="99"/>
    <w:rPr>
      <w:rFonts w:ascii="Segoe UI" w:hAnsi="Segoe UI" w:cs="Segoe UI"/>
      <w:sz w:val="18"/>
      <w:szCs w:val="18"/>
    </w:rPr>
  </w:style>
  <w:style w:type="paragraph" w:styleId="15">
    <w:name w:val="header"/>
    <w:basedOn w:val="1"/>
    <w:link w:val="22"/>
    <w:unhideWhenUsed/>
    <w:qFormat/>
    <w:uiPriority w:val="99"/>
    <w:pPr>
      <w:tabs>
        <w:tab w:val="center" w:pos="4680"/>
        <w:tab w:val="right" w:pos="9360"/>
      </w:tabs>
    </w:pPr>
  </w:style>
  <w:style w:type="paragraph" w:styleId="16">
    <w:name w:val="HTML Preformatted"/>
    <w:basedOn w:val="1"/>
    <w:link w:val="40"/>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rPr>
  </w:style>
  <w:style w:type="paragraph" w:styleId="17">
    <w:name w:val="footer"/>
    <w:basedOn w:val="1"/>
    <w:link w:val="23"/>
    <w:unhideWhenUsed/>
    <w:qFormat/>
    <w:uiPriority w:val="99"/>
    <w:pPr>
      <w:tabs>
        <w:tab w:val="center" w:pos="4680"/>
        <w:tab w:val="right" w:pos="9360"/>
      </w:tabs>
    </w:pPr>
  </w:style>
  <w:style w:type="paragraph" w:styleId="18">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9">
    <w:name w:val="Title"/>
    <w:basedOn w:val="1"/>
    <w:next w:val="1"/>
    <w:link w:val="26"/>
    <w:qFormat/>
    <w:uiPriority w:val="1"/>
    <w:pPr>
      <w:autoSpaceDE w:val="0"/>
      <w:autoSpaceDN w:val="0"/>
      <w:adjustRightInd w:val="0"/>
      <w:spacing w:before="8" w:after="1"/>
    </w:pPr>
    <w:rPr>
      <w:rFonts w:ascii="Times New Roman" w:hAnsi="Times New Roman" w:cs="Times New Roman"/>
    </w:rPr>
  </w:style>
  <w:style w:type="table" w:styleId="2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Table Normal"/>
    <w:uiPriority w:val="0"/>
    <w:tblPr>
      <w:tblCellMar>
        <w:top w:w="0" w:type="dxa"/>
        <w:left w:w="0" w:type="dxa"/>
        <w:bottom w:w="0" w:type="dxa"/>
        <w:right w:w="0" w:type="dxa"/>
      </w:tblCellMar>
    </w:tblPr>
  </w:style>
  <w:style w:type="character" w:customStyle="1" w:styleId="22">
    <w:name w:val="Encabezado Car"/>
    <w:basedOn w:val="8"/>
    <w:link w:val="15"/>
    <w:qFormat/>
    <w:uiPriority w:val="99"/>
  </w:style>
  <w:style w:type="character" w:customStyle="1" w:styleId="23">
    <w:name w:val="Pie de página Car"/>
    <w:basedOn w:val="8"/>
    <w:link w:val="17"/>
    <w:qFormat/>
    <w:uiPriority w:val="99"/>
  </w:style>
  <w:style w:type="table" w:customStyle="1" w:styleId="24">
    <w:name w:val="TableGrid"/>
    <w:qFormat/>
    <w:uiPriority w:val="0"/>
    <w:rPr>
      <w:rFonts w:eastAsiaTheme="minorEastAsia"/>
    </w:rPr>
    <w:tblPr>
      <w:tblCellMar>
        <w:top w:w="0" w:type="dxa"/>
        <w:left w:w="0" w:type="dxa"/>
        <w:bottom w:w="0" w:type="dxa"/>
        <w:right w:w="0" w:type="dxa"/>
      </w:tblCellMar>
    </w:tblPr>
  </w:style>
  <w:style w:type="paragraph" w:styleId="25">
    <w:name w:val="List Paragraph"/>
    <w:basedOn w:val="1"/>
    <w:qFormat/>
    <w:uiPriority w:val="34"/>
    <w:pPr>
      <w:ind w:left="720"/>
      <w:contextualSpacing/>
    </w:pPr>
  </w:style>
  <w:style w:type="character" w:customStyle="1" w:styleId="26">
    <w:name w:val="Título Car"/>
    <w:basedOn w:val="8"/>
    <w:link w:val="19"/>
    <w:qFormat/>
    <w:uiPriority w:val="1"/>
    <w:rPr>
      <w:rFonts w:ascii="Times New Roman" w:hAnsi="Times New Roman" w:cs="Times New Roman"/>
      <w:lang w:val="es-CL"/>
    </w:rPr>
  </w:style>
  <w:style w:type="paragraph" w:customStyle="1" w:styleId="27">
    <w:name w:val="Table Paragraph"/>
    <w:basedOn w:val="1"/>
    <w:qFormat/>
    <w:uiPriority w:val="1"/>
    <w:pPr>
      <w:autoSpaceDE w:val="0"/>
      <w:autoSpaceDN w:val="0"/>
      <w:adjustRightInd w:val="0"/>
      <w:spacing w:line="233" w:lineRule="exact"/>
      <w:ind w:left="103"/>
    </w:pPr>
    <w:rPr>
      <w:rFonts w:ascii="Arial" w:hAnsi="Arial" w:cs="Arial"/>
    </w:rPr>
  </w:style>
  <w:style w:type="paragraph" w:customStyle="1" w:styleId="28">
    <w:name w:val="Default"/>
    <w:qFormat/>
    <w:uiPriority w:val="0"/>
    <w:pPr>
      <w:autoSpaceDE w:val="0"/>
      <w:autoSpaceDN w:val="0"/>
      <w:adjustRightInd w:val="0"/>
    </w:pPr>
    <w:rPr>
      <w:rFonts w:ascii="Arial" w:hAnsi="Arial" w:eastAsia="Calibri" w:cs="Arial"/>
      <w:color w:val="000000"/>
      <w:sz w:val="24"/>
      <w:szCs w:val="24"/>
      <w:lang w:val="es-CL" w:eastAsia="es-CL" w:bidi="ar-SA"/>
    </w:rPr>
  </w:style>
  <w:style w:type="table" w:customStyle="1" w:styleId="29">
    <w:name w:val="_Style 23"/>
    <w:basedOn w:val="21"/>
    <w:qFormat/>
    <w:uiPriority w:val="0"/>
    <w:tblPr>
      <w:tblCellMar>
        <w:top w:w="49" w:type="dxa"/>
        <w:left w:w="107" w:type="dxa"/>
        <w:right w:w="115" w:type="dxa"/>
      </w:tblCellMar>
    </w:tblPr>
  </w:style>
  <w:style w:type="table" w:customStyle="1" w:styleId="30">
    <w:name w:val="_Style 24"/>
    <w:basedOn w:val="21"/>
    <w:qFormat/>
    <w:uiPriority w:val="0"/>
    <w:tblPr>
      <w:tblCellMar>
        <w:left w:w="115" w:type="dxa"/>
        <w:right w:w="115" w:type="dxa"/>
      </w:tblCellMar>
    </w:tblPr>
  </w:style>
  <w:style w:type="table" w:customStyle="1" w:styleId="31">
    <w:name w:val="_Style 25"/>
    <w:basedOn w:val="21"/>
    <w:qFormat/>
    <w:uiPriority w:val="0"/>
    <w:tblPr>
      <w:tblCellMar>
        <w:left w:w="108" w:type="dxa"/>
        <w:right w:w="108" w:type="dxa"/>
      </w:tblCellMar>
    </w:tblPr>
  </w:style>
  <w:style w:type="table" w:customStyle="1" w:styleId="32">
    <w:name w:val="_Style 26"/>
    <w:basedOn w:val="21"/>
    <w:uiPriority w:val="0"/>
    <w:tblPr>
      <w:tblCellMar>
        <w:top w:w="46" w:type="dxa"/>
        <w:left w:w="108" w:type="dxa"/>
        <w:right w:w="53" w:type="dxa"/>
      </w:tblCellMar>
    </w:tblPr>
  </w:style>
  <w:style w:type="table" w:customStyle="1" w:styleId="33">
    <w:name w:val="_Style 27"/>
    <w:basedOn w:val="21"/>
    <w:qFormat/>
    <w:uiPriority w:val="0"/>
    <w:tblPr>
      <w:tblCellMar>
        <w:top w:w="46" w:type="dxa"/>
        <w:left w:w="108" w:type="dxa"/>
        <w:right w:w="53" w:type="dxa"/>
      </w:tblCellMar>
    </w:tblPr>
  </w:style>
  <w:style w:type="table" w:customStyle="1" w:styleId="34">
    <w:name w:val="_Style 28"/>
    <w:basedOn w:val="21"/>
    <w:qFormat/>
    <w:uiPriority w:val="0"/>
    <w:tblPr>
      <w:tblCellMar>
        <w:left w:w="115" w:type="dxa"/>
        <w:right w:w="115" w:type="dxa"/>
      </w:tblCellMar>
    </w:tblPr>
  </w:style>
  <w:style w:type="table" w:customStyle="1" w:styleId="35">
    <w:name w:val="_Style 29"/>
    <w:basedOn w:val="21"/>
    <w:qFormat/>
    <w:uiPriority w:val="0"/>
    <w:tblPr>
      <w:tblCellMar>
        <w:left w:w="108" w:type="dxa"/>
        <w:right w:w="108" w:type="dxa"/>
      </w:tblCellMar>
    </w:tblPr>
  </w:style>
  <w:style w:type="table" w:customStyle="1" w:styleId="36">
    <w:name w:val="_Style 30"/>
    <w:basedOn w:val="21"/>
    <w:qFormat/>
    <w:uiPriority w:val="0"/>
    <w:tblPr>
      <w:tblCellMar>
        <w:top w:w="66" w:type="dxa"/>
        <w:left w:w="71" w:type="dxa"/>
        <w:bottom w:w="22" w:type="dxa"/>
        <w:right w:w="47" w:type="dxa"/>
      </w:tblCellMar>
    </w:tblPr>
  </w:style>
  <w:style w:type="character" w:customStyle="1" w:styleId="37">
    <w:name w:val="Texto comentario Car"/>
    <w:basedOn w:val="8"/>
    <w:link w:val="13"/>
    <w:semiHidden/>
    <w:qFormat/>
    <w:uiPriority w:val="99"/>
    <w:rPr>
      <w:sz w:val="20"/>
      <w:szCs w:val="20"/>
    </w:rPr>
  </w:style>
  <w:style w:type="character" w:customStyle="1" w:styleId="38">
    <w:name w:val="Texto de globo Car"/>
    <w:basedOn w:val="8"/>
    <w:link w:val="14"/>
    <w:semiHidden/>
    <w:uiPriority w:val="99"/>
    <w:rPr>
      <w:rFonts w:ascii="Segoe UI" w:hAnsi="Segoe UI" w:cs="Segoe UI"/>
      <w:sz w:val="18"/>
      <w:szCs w:val="18"/>
    </w:rPr>
  </w:style>
  <w:style w:type="character" w:customStyle="1" w:styleId="39">
    <w:name w:val="Asunto del comentario Car"/>
    <w:basedOn w:val="37"/>
    <w:link w:val="12"/>
    <w:semiHidden/>
    <w:uiPriority w:val="99"/>
    <w:rPr>
      <w:b/>
      <w:bCs/>
      <w:sz w:val="20"/>
      <w:szCs w:val="20"/>
    </w:rPr>
  </w:style>
  <w:style w:type="character" w:customStyle="1" w:styleId="40">
    <w:name w:val="HTML con formato previo Car"/>
    <w:basedOn w:val="8"/>
    <w:link w:val="16"/>
    <w:semiHidden/>
    <w:uiPriority w:val="99"/>
    <w:rPr>
      <w:rFonts w:ascii="Courier New" w:hAnsi="Courier New" w:eastAsia="Times New Roman" w:cs="Courier Ne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header" Target="head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emf"/><Relationship Id="rId36" Type="http://schemas.openxmlformats.org/officeDocument/2006/relationships/image" Target="media/image28.emf"/><Relationship Id="rId35" Type="http://schemas.openxmlformats.org/officeDocument/2006/relationships/image" Target="media/image27.emf"/><Relationship Id="rId34" Type="http://schemas.openxmlformats.org/officeDocument/2006/relationships/image" Target="media/image26.png"/><Relationship Id="rId33" Type="http://schemas.openxmlformats.org/officeDocument/2006/relationships/image" Target="media/image25.emf"/><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emf"/><Relationship Id="rId27" Type="http://schemas.openxmlformats.org/officeDocument/2006/relationships/image" Target="media/image19.emf"/><Relationship Id="rId26" Type="http://schemas.openxmlformats.org/officeDocument/2006/relationships/image" Target="media/image18.emf"/><Relationship Id="rId25" Type="http://schemas.openxmlformats.org/officeDocument/2006/relationships/image" Target="media/image17.emf"/><Relationship Id="rId24" Type="http://schemas.openxmlformats.org/officeDocument/2006/relationships/image" Target="media/image16.emf"/><Relationship Id="rId23" Type="http://schemas.openxmlformats.org/officeDocument/2006/relationships/image" Target="media/image15.emf"/><Relationship Id="rId22" Type="http://schemas.openxmlformats.org/officeDocument/2006/relationships/image" Target="media/image14.emf"/><Relationship Id="rId21" Type="http://schemas.openxmlformats.org/officeDocument/2006/relationships/image" Target="media/image13.emf"/><Relationship Id="rId20" Type="http://schemas.openxmlformats.org/officeDocument/2006/relationships/image" Target="media/image12.emf"/><Relationship Id="rId2" Type="http://schemas.openxmlformats.org/officeDocument/2006/relationships/settings" Target="settings.xml"/><Relationship Id="rId19" Type="http://schemas.openxmlformats.org/officeDocument/2006/relationships/image" Target="media/image11.emf"/><Relationship Id="rId18" Type="http://schemas.openxmlformats.org/officeDocument/2006/relationships/image" Target="media/image10.emf"/><Relationship Id="rId17" Type="http://schemas.openxmlformats.org/officeDocument/2006/relationships/image" Target="media/image9.emf"/><Relationship Id="rId16" Type="http://schemas.openxmlformats.org/officeDocument/2006/relationships/image" Target="media/image8.emf"/><Relationship Id="rId15" Type="http://schemas.openxmlformats.org/officeDocument/2006/relationships/image" Target="media/image7.emf"/><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jIjWByUpueQ3yZhFa4En2CMf/KNA==">AMUW2mUqrW4uv0P+TYISg0/dR+7DrEbYimH4pDBW5HCgqGCs3FEBLpHaLQHHEYpNg8QYu8FbVwKFQznosg8EjVTXnAOgrhO1kAf33PT/VVG0GzcRf5WENqE263SEGfnIosS32iDb+f65cPJnFyEejBXWIb/YI0i3aTw82j+yBSpP/kWPCd1rxJah2OfcUlNmzzV2KuvRMumr9w8vvT91lB/H7Uab3BSzS8aNTmwOz6W4mQRRAqiHKKljEHL04ph4MI6OhOn9Q40inlhAMUjLhTgE+6hwuyntGPLCXJrrw4oe2/mCAm5jhtPnYutBwVUVs7bYbVWjoZlfhDqsng0pDKWXG0fdRx/ZZ6e6asxC1wC0tQvC4GfrQXSobrMw3JiaFZL/oMd35LOJ9f5d8KlmiTkEMZjXowXCdDyhtPWP1BAn9T1I7Mk4XcANeW35EypjpFz0hIypV/MA0eRcCksBvjG2qVHVoxgIKXLFGbAAvmFhvqnnM7jX5rT1zjlsAA9rotPcC6vNaz/fZE61NvYFB2AdIGI+nbgm+PKgYK7oU9bpUaXPmpDjyzn7dDcS+GtK2i249GyxzQunj2jSz6nI7uiUslfTpyui9iDG4wxMmuwbNtHM7MeDbebNdf2vCDlbzy64yb+gagByMXN/pIL+/yBHDkFWwPaxPGKD899vJvi6P55AiDYSJ/WgXVcSQFxFDCR9Vnw/a51TjGb/Iv2Y45ffND4td4F+VACXYnPOKhXmZaZ67cuKPgUpWJHJ2F+z4RRSCpLrdCf1SlzSQMwEX5gk3X3mxONNTorCd4yRH4WerYcCJSfqQW7kTcg+3WFnHaqQxNMt6MbmgtuVrz74X9MQ6fZMuu/CAagTCryKhHFyGdEi0PN/88XWyaW5ZpenhmN6Qm6cjofT9oeNVlXlTLSwgv8km96CWLOeK25VqeB66b5kf5y2fnu1RsXCJOYf3l3MktqTdZ2uza4xT/VlS0jy/b14MoaAmk+wK2ztjJHgAmUYnuljhkjXyXPFGFiv6NIVZ7EcibxvBgCUmNmDD5qZSJ2ZB5IWOxf8wWVCuNUr4XOVZ3syfaU11ScwOgylNESP2b6/gR9OF9s2cz4ermZaJ+H2VTCMEvL6eEf1GOmtu88YZTrsDfL5uNUav/a7MGdNvr//DSlZzyk4RjPzaSt1fpZKKVVowuTMhj7fWNa/aooEw5zSHjsvA+rEemZR/4v4HXpEV3kQoIwfu0H4hL5+6vPq2W9uzpEwH63OWuD8DhyYg45dCHGVY+AM5JNt5hHxoX9jYZKtAH7qix2iYp8BJC1hr+X9LU6fmA8tWJ7D8Fi1RyNkLi/mZ4R1xqA1CtQFK/W4rGY62DgSI//c8vtwX/DcSlR6khPyi5l7ev0eIRaInlkPDPrkw12yXSvLpI3N86RAqqs1ynQhTAyfzcRXDPp1iBfbytm/cU5d+jVo87yjzUmnn/px3btm79jZyZ95RvzLQMjm9EtbjCbk/hEkbUZnDZsbucG1BDmGSPodgvwss7PtDDdAvclToJww2IEWnGZRcVSpyyTLzoDLxgdMkPQpFNWB6S326Frvf/lAe/rWTV199EpWdJX6VDjYzei43mAC1W4qqTKg7D52Mz5/GQk8YlnBkxyhf2kZRp7oU1wlKhvalAvzoiYsIxFnqM8ftg8XWyTqgkrECBlFF8xUrItxc5oIW5KmRxyJBSe8xEDPxy2WycwroLIVWLW43gEuo+9THSpkmCBdVdi+0UaknEIOG8tutMIYJZfcPULzTdWWxZfKqxThKgxnHCzGn+D34Dqf7nfPF3mwpmLJK1+euRKS80/UjsWGkwhFHVgk1U/SQtxPT+1F8ZGtJvVpo9OfQUTp9uiofViKfsnBVrdwJ4lrLwvw/zKyaL0xl4kXRVWpCyiCj9F+CQoH+xfsQW0ne24qgW6LrvLEEedWKp2bfh/LGB63TLXkIP1qV2OUAXpE32crHvsj5ywbOswVBMh1GhPLiH5PyGTLBKkgFbJIo10Yq+vfeAo2musT9bLr0jlh+S68SsqlMOW1JkaqqnM8u7wPv6e0WJRnoQtfuagsEtwbK0tKjFT0tOY1X/l38Gk9Hn8MUZe7ZmOwE/tQeUFbUlM9ANZ+0TYYNxXPgScd0qrOFe5C0uAvvgcbvFoMEL8WP5fUbLjxxnfpRq2JKSAU9kNJcfUhaF2TIQVpCpYEoS2+xXA6CZToNERlHOzzl75QpDYb9N92g/36xKKz7L0WesKVq0AmV/gbxZsLqQWYRGRdIYenwXnsU75X6jRItcgANFhj7xDwucu5KI7senq8cgjuTesHJG7yfIfjyS5Lp8N9ynaDNYO+NA05G7kD2Wg18I5IE8hz5642JkYeadl+nPh3UhbiITGHBkV371jPvIZJhTzZf/PekzG4filDfGw/W2NougLwhgqWL1XatELy1hQPmgtHlN1pBG0lbDtjrGmxx49Z/sP569GzK19CTOQZxiz8Og1qpgItl88MnH0njk/0vZabM6cS2jhkmN8dWOLJrVk9J4bcR0v4zJoGL08/8UfJMQIadMh5UP/Myyi22GE9zPK7mNZS2e45lYRoXZxYQ/STXBwJv1TpmpD7lNbqwWiH5suAviRzecrCTILcdMLQw8GNEF4p0WaG6wAOy4aO7q+lRmpyVozUKd4NpTNp/2GbZMTzz9wrvwxFig5+3RKmpcGPftoXDD8Nac+f1kGQg/eslRel3Hs4oA4sxMSmZWXc3meQT45cD/ncHfb+33ze9xpqNRHtqhjS3wacImvMXCoxcAcj1HTpEtKHW8/CQDFOs7p0yaTZzZYP++m7ZPN/+6X4El045BYeI9UvHnmq4iWg5u012/S/zTh9yosTJPlEYc+fWNycJ1/olxbqi2eqywFpvLjoFevaJZP4DtSsR//QfSL2Pk5UxijXcfDlUZl2geQk8ykDj6EiCKv+BdPdNTXBKuN56XjNBqDWwQ9CCHgAfnfd7rfTjY5bAxfg6lf6MW5X0rZH6ETCUPVm8YEz0lapjQdWczBL9fBnqAKoFuFznJpeLNXbUBBYqGdp5uYCdfIEZX8/IJXA/pdGnkLRQGNm5cbhXHFFOP/g7S/RfD6c7jaH7JXfvbYUsS7+8nUPSgOxOIIW2+a15GAHefioXJHRlKUyig2AFM8c6hsvTe04h271MaRjI2G83/eiUtmW3OVWM3bucANrQ4zvdSAwxpAD38XHMXvpOW9WzXibW1iH+DN9i6OpQIbd/5eIkSyFV84qM0jUDc1GAIvB87X7b5lpo+pCbqsGG6apWZSNZjTfYNSWAfyaCAXtbEM8erCczycyEymOPqLd2S7vBN7TNmNgw6ICOsPpnui9ZwK+PCV5I5gCF+Zww6HJzFlgO48axmCdwjvUT9/EVkFEj5tBTVOni2iSL25iURVn+ZrVq1o4eQaoZm1/GKdBhCBIFOQKMeLTUKiTQ4l3wBxiLMpg2BCjuigeOlQJyQqzqG6oOVcP8W2FYdgPuPmZzVHTQRmv8UvQ5pKQO9uqs6CpO65cTAG3B41m6OSAv58O18Ns6Qs5ezIOuFjTAmxgjPdXB+Icj5B8o0l/rb+ZM8lVZNvxVWFlOngWi5e3q1JeNXnTb64md4ITihV2A0lGZKZfmMb7Cveg7pqf4qDLA/EjN+5nso95jYk1DXTGLRvA8OlZ7ZY97bsNoYuMu4Q/m6IwhpI5o5+eJfcKARP4UL8kq+RYjLpdT4p2qn75d8MJU/qv69DhS7iL4OHIBBhtbIHLiLIc0Mo1TzrP4AzQNI246+pBqZjvpYTcmQo6WZiWNfwAcBOA5brKB6ac9f4qDHUbbZOQVahKo/ggSazDBjm//LR2/p7gCOfl1iT5rVpzWqIXZdP69ugTPBH54NZKii99TWk9dQgjyc/sBONU35ztTFESNuD7QeXEziLJc5qYuy6jYsivpCyGC1O/Div9uWo08wXvO6ZBdCMRj8JcqeR3/ZVmRBIQdopYLDIliSmaeL+wIFGx7Rnh6oYYmPyh1En00gEUiMKShdUoxFWtLMAC4GHB7wbbgwrL7Ydw96Y/sGdzn9VGSRwj0lIoxQJ/tNSUdFWL54W7uWmftBxkiMf02fF6DZ/EmqJOqNebBRU7qTFLVSmjEmyr23jeNfCpUlhin4S1HZr8Cx87wwsBCXXw0G9q+GVkHV+4ECZp9M1yhVWvKytaG/piiAXXqZ+pepVH8gmEdUMsCXG+ToiusOf/913+Uf/+naUyPV6S46BpmTAtN006X2qOyifWxA29kw9dnU5Dkojy3cUqsEhVdBBI3owzbTHDgmEHJFs8HzyUWSjxNbGXxpxg2/I0YHxjop0WVPdnRvKhyuKfBiTnJWQNV70NyzwQf2nJxtW1f550yNdtoNEQNS/lFHz9stA+wT+nrDg6LPl2D4J3hwsXQEzDL5c6W/BJ1vcEPPlQyJGy529uQEM8ZTw8aU3hWOdkR41/5eq8R4flqqctjakjULsJexGzBq3+AebilvEdk8SjTcaFKArTzF4+uMLf9G0y0Zvvc9pnaaiPHXdLNvsmVZtBV2Qkt0OlefOa2535HVaYT2RN6fzcFD3Z5d7sZ9vJ2nNJrND2RCfyN5Ilg5+TiUlu2RHX4ULTeyPsmE8/z4fRGxrY7G1l/2RvH+wSH2hpOcZfJKu9z4NJmtB5gDInRH3+mK+h1q+D5D4qo2BrvaE+KMFWmZbk13FrphLEP0vIi2zxRtUb2oatEPVAEfNxpn2iMQMwje05XmlL+uLaBHFHLklurNvwOdLKmst7+bYarHaFUukzCOzAzfpHl6MlukR+jlcyn+CpEZ316kVCIFi/odzYdg6N1i8Q4otgVDsN+xMtmWT/wNYE6eG5DwKLeR3YrDKBQf7935gIxAM3Jm7gkQp0k7k8R/zQVBYNNzKU8yRrH3PJjy+ET62ESe3O2GSmH0S8exWkGjeYu9pEvsrv9sqbHoHu4071CnbxuM5nQ4gVy8d9wL5BJLw8iVeTIJFiRxyKhsNVJLKNqVXCWEy3d3yf8J/hLZp6ulmx2RVmLugiPsyFxCYaWA++/GmEpVEeS9/8Ps37Yo4uhe/jdzjc0m7Ymdy127FowvJrejpJq1d3X3bUE2n/qzxCkognFLiFDYiSg5TTEq9zGp2tpV+E+bMaLL0Vqrx9mBqPcY95Lac4DBw8Q/1y9yT37HobSJCPHujURl3P0+aaPHEG3DlvT6ry3xHNfGRb0qnH9iCfqi/mZF3e/30K0ZXr1ha0QOBALU7X85h/ahgEl+2x44mi5OuEUJ5iTfCSgoFv4yncXmsJACfJPQyZXZmX9mVFtmgOMd2gkmV5+RM76f5y+4gEalcVlyGg9lxD/uHksTK8aCrd4Wbk49yL2e2iud/8NVrPJ0ytESF7Cs4tvr/AdrDKvCbQqPe5x2jhYp6zjGHS0gnrZ2J+cipW9yzpaINUaATv1TInWENFoAoQjOZUVMcuIASAC98uZcm/kFOQAprn5MMO1+hA0HsJNCRgYLppM0IbB03w8m3CMPrnhY8x7Xvl6pkovmVsuHuxehQcGewrtCZ1gGPlupx7T55GQAMp7X9+d8aqUJ7dctyvZGwi5dlKpm6BTPXdRYVSlyFXv8pIilnGfVGLnuUaUPbfSxOrp7gQn3pLa5cLyGkw3Aolg2HM4luPZwk52G+0Kote1D5w0e0qPo6Cy1+Sa8lBi0uNxra0ZuO99TOc+KEZtZopPW3o+Jrq2ZSQpKSXrykRax0F1o01R2e2iYAI80lki/Fp4FBsspZRiL2S72DulJ4xe3AND6Co6XOFleJR1MqSdaCUeBbSg8uO7EV7Hm604lCLfpRKXF4Dszhu2F9xLBXSvIeuk7G5lHExDUC3VW80OGPphHxi+lG2vGbjro2mu89dRFAlUXeh/vJmaDKRbt+/Jcu8LU1nwnAVd87NFxTj7FqTgxojaD5aUAZ/OrbdB+GntONmam65Uwovmnd1zOhXMMg+xKd98mGVJGtpnycq+Iss/cCoYADjaeydYnkirRyDwlgiW90SXge3BfH0pUE3442IJ+BXtLMLvMekuyz/oifibxkiCuPG4toLkmRIbLovbWvOMhz8xkbZOfqrbh01cq5/TSsAEyX/7jWoyO82Odvj8agwwHrxKe1cegzK3AeE6ODzo7OtnpVMyvlefSlzSmKSvKaY0dMV/Vxs39zOkKCWGYjtoQhcG3diwVn5r7kfdvi8qgIr9G0EwIDGI6gF755jHM1hL40n86olNPhZhvc26u5zWHDG5+tGD9QFy3QxB9U9JHkbApsj5+IKO2ErFvzrHPgNgGyAe/QXG/Nxw/8FV/jYE6INPnOoyL0zgwyaV6EV/q2CZcjNu38LHgJjeO7SIkJOoAFAZC5gSCuHobpGaVWDwYUHoX7oV4c/Ezjrhb/rSlipp1RoQ9vs/7I2exmovc33e7m2iHYvf2s5V4MjH6LH/qJpJheQINNMkRLfd9Ny1jLAwacHyvnlLlbvZTEgurk4Z2Mlkqauyig5wp17osbRDMlnrqvxaTmxJN4B5TL5pTMOOvbGiFyaM1TIlRvbd5D7qD2YfOwjPqq2fCwVxdoQiK1u4cpAL8UX3oPSNpWkArqSlhrR4v/usuW/IByPp074ywT8aNIvK1Iu0dNpUfEPSNj+jQCh+NqcPkNJ/RLgIqrr9VOjWwBwFpSNkb01N5lL3hvH2/3O4GoCy6Y++z7heT2oVkbEv9NbIIcJx1tC9KbYx/kvn/R8qncUSe7N69RUaEloheP0btTk4cAYAR6fNdDuPbHBVszVyqcW5ODCOydlqlIwxy6x0VIeNm78BpW4xEeuWuoiEuAzQHzlC+hSjCa4NpTOCZih7x7f85nQVL0VPCOoOiFi2H58vkgtQf3bFODw8X+Ar13m7xNWvN894RaEKx2fjsZJEpSngnwh++WgngJrZucQjE9iNt9n167jiql74qPbn9W22AoXwQpdlgd9as3c5GxcqAl+Zdv5Ny5CzVX4aY+2V6yjxtXQ47lHyLKc/3qlwKpxRBnvyJRuQ2jYyRRAqGePxbHkw6uweZwgTAXxeUbthSNuA2cql8s+cmHQ0GBMO2ZuAstYuGEXGOXwqG27lLY8wGFLUyPuJDS9dhmKnUzRAv5uJ5/NmlJMR3Kkno1jJZuNJqQe/BVzonb5cPwMDy1Wkn25GJxvZgVUUoAGNRfQb7HsKUcHj1aPL7gFijQ/NuCbXBSqwqxcOKyt2zuSL5v7nEWOYOnrlgoJAte/Hg8lAUh0Oss7UtuDUXPfym9RXeR8f/9MHVoajaZnlfVkDgXIHGaxVA7pMjKf8dFMV0hEAWf9UVXC3zv+gB7NEZypE530Q1JUOVX6b4iUqQUCF5znuE84ktXBTg8j1qJ++WkKuqrCFwfLYGoQsiy16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ENEL</Company>
  <Pages>1</Pages>
  <Words>3768</Words>
  <Characters>20726</Characters>
  <Lines>172</Lines>
  <Paragraphs>48</Paragraphs>
  <TotalTime>355</TotalTime>
  <ScaleCrop>false</ScaleCrop>
  <LinksUpToDate>false</LinksUpToDate>
  <CharactersWithSpaces>24446</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2021-03-10T16:55:00Z</dcterms:created>
  <dc:creator>Luciano Ahumada Fierro</dc:creator>
  <cp:lastModifiedBy>CL146041000</cp:lastModifiedBy>
  <cp:lastPrinted>2021-03-15T03:22:00Z</cp:lastPrinted>
  <dcterms:modified xsi:type="dcterms:W3CDTF">2021-10-08T14:59:41Z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2058-11.2.0.10323</vt:lpwstr>
  </property>
  <property fmtid="{D5CDD505-2E9C-101B-9397-08002B2CF9AE}" pid="3" name="MSIP_Label_00183ae1-726f-4969-b787-1995b26b5e2f_Enabled">
    <vt:lpwstr>True</vt:lpwstr>
  </property>
  <property fmtid="{D5CDD505-2E9C-101B-9397-08002B2CF9AE}" pid="4" name="MSIP_Label_00183ae1-726f-4969-b787-1995b26b5e2f_SiteId">
    <vt:lpwstr>d539d4bf-5610-471a-afc2-1c76685cfefa</vt:lpwstr>
  </property>
  <property fmtid="{D5CDD505-2E9C-101B-9397-08002B2CF9AE}" pid="5" name="MSIP_Label_00183ae1-726f-4969-b787-1995b26b5e2f_Owner">
    <vt:lpwstr>patricio.figueroa@enel.com</vt:lpwstr>
  </property>
  <property fmtid="{D5CDD505-2E9C-101B-9397-08002B2CF9AE}" pid="6" name="MSIP_Label_00183ae1-726f-4969-b787-1995b26b5e2f_SetDate">
    <vt:lpwstr>2020-12-20T18:56:56.7117098Z</vt:lpwstr>
  </property>
  <property fmtid="{D5CDD505-2E9C-101B-9397-08002B2CF9AE}" pid="7" name="MSIP_Label_00183ae1-726f-4969-b787-1995b26b5e2f_Name">
    <vt:lpwstr>Internal</vt:lpwstr>
  </property>
  <property fmtid="{D5CDD505-2E9C-101B-9397-08002B2CF9AE}" pid="8" name="MSIP_Label_00183ae1-726f-4969-b787-1995b26b5e2f_Application">
    <vt:lpwstr>Microsoft Azure Information Protection</vt:lpwstr>
  </property>
  <property fmtid="{D5CDD505-2E9C-101B-9397-08002B2CF9AE}" pid="9" name="MSIP_Label_00183ae1-726f-4969-b787-1995b26b5e2f_ActionId">
    <vt:lpwstr>c479e353-0649-437b-943a-7ec022832bc1</vt:lpwstr>
  </property>
  <property fmtid="{D5CDD505-2E9C-101B-9397-08002B2CF9AE}" pid="10" name="MSIP_Label_00183ae1-726f-4969-b787-1995b26b5e2f_Extended_MSFT_Method">
    <vt:lpwstr>Automatic</vt:lpwstr>
  </property>
  <property fmtid="{D5CDD505-2E9C-101B-9397-08002B2CF9AE}" pid="11" name="MSIP_Label_797ad33d-ed35-43c0-b526-22bc83c17deb_Enabled">
    <vt:lpwstr>True</vt:lpwstr>
  </property>
  <property fmtid="{D5CDD505-2E9C-101B-9397-08002B2CF9AE}" pid="12" name="MSIP_Label_797ad33d-ed35-43c0-b526-22bc83c17deb_SiteId">
    <vt:lpwstr>d539d4bf-5610-471a-afc2-1c76685cfefa</vt:lpwstr>
  </property>
  <property fmtid="{D5CDD505-2E9C-101B-9397-08002B2CF9AE}" pid="13" name="MSIP_Label_797ad33d-ed35-43c0-b526-22bc83c17deb_Owner">
    <vt:lpwstr>patricio.figueroa@enel.com</vt:lpwstr>
  </property>
  <property fmtid="{D5CDD505-2E9C-101B-9397-08002B2CF9AE}" pid="14" name="MSIP_Label_797ad33d-ed35-43c0-b526-22bc83c17deb_SetDate">
    <vt:lpwstr>2020-12-20T18:56:56.7117098Z</vt:lpwstr>
  </property>
  <property fmtid="{D5CDD505-2E9C-101B-9397-08002B2CF9AE}" pid="15" name="MSIP_Label_797ad33d-ed35-43c0-b526-22bc83c17deb_Name">
    <vt:lpwstr>Not Encrypted</vt:lpwstr>
  </property>
  <property fmtid="{D5CDD505-2E9C-101B-9397-08002B2CF9AE}" pid="16" name="MSIP_Label_797ad33d-ed35-43c0-b526-22bc83c17deb_Application">
    <vt:lpwstr>Microsoft Azure Information Protection</vt:lpwstr>
  </property>
  <property fmtid="{D5CDD505-2E9C-101B-9397-08002B2CF9AE}" pid="17" name="MSIP_Label_797ad33d-ed35-43c0-b526-22bc83c17deb_ActionId">
    <vt:lpwstr>c479e353-0649-437b-943a-7ec022832bc1</vt:lpwstr>
  </property>
  <property fmtid="{D5CDD505-2E9C-101B-9397-08002B2CF9AE}" pid="18" name="MSIP_Label_797ad33d-ed35-43c0-b526-22bc83c17deb_Parent">
    <vt:lpwstr>00183ae1-726f-4969-b787-1995b26b5e2f</vt:lpwstr>
  </property>
  <property fmtid="{D5CDD505-2E9C-101B-9397-08002B2CF9AE}" pid="19" name="MSIP_Label_797ad33d-ed35-43c0-b526-22bc83c17deb_Extended_MSFT_Method">
    <vt:lpwstr>Automatic</vt:lpwstr>
  </property>
  <property fmtid="{D5CDD505-2E9C-101B-9397-08002B2CF9AE}" pid="20" name="Sensitivity">
    <vt:lpwstr>Internal Not Encrypted</vt:lpwstr>
  </property>
  <property fmtid="{D5CDD505-2E9C-101B-9397-08002B2CF9AE}" pid="21" name="ICV">
    <vt:lpwstr>D867ABBA93754FA3841D80989BFCF340</vt:lpwstr>
  </property>
</Properties>
</file>