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777777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regarder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aller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2B4FE296"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7A556AED" w:rsidR="00465D8B" w:rsidRDefault="00000000"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48E34968"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ia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chatbox</w:t>
            </w:r>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136B7214"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existante à uhne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tokens </w:t>
            </w:r>
            <w:r w:rsidR="00C1031E">
              <w:t xml:space="preserve">portions de mots, </w:t>
            </w:r>
            <w:r w:rsidR="00646BEE">
              <w:t xml:space="preserve">2-3 mots… Améliore les </w:t>
            </w:r>
            <w:r w:rsidR="007C27CC">
              <w:t>capacités</w:t>
            </w:r>
            <w:r w:rsidR="00646BEE">
              <w:t xml:space="preserve"> de prédictions</w:t>
            </w:r>
            <w:r w:rsidR="00B73E6F">
              <w:t xml:space="preserve">. Ces tokens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Self-supervised-learning</w:t>
            </w:r>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token donc pour trouver le prochain mot il peut ressortir </w:t>
            </w:r>
            <w:r w:rsidR="00A1124A">
              <w:t>des infos liés à des token au début d’un texte</w:t>
            </w:r>
            <w:r w:rsidR="00B46316">
              <w:t xml:space="preserve">. Continuer un texte ne sert pas à </w:t>
            </w:r>
            <w:r w:rsidR="0073236D">
              <w:t>faire une conversation</w:t>
            </w:r>
            <w:r w:rsidR="00F27D4B">
              <w:t>. Utilisation de prep</w:t>
            </w:r>
            <w:r w:rsidR="00956E4E">
              <w:t xml:space="preserve">rompt,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Instruct GPT : </w:t>
            </w:r>
            <w:r w:rsidR="00D34940">
              <w:t xml:space="preserve">modèle fine tuné,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r w:rsidR="003B1F1D">
              <w:rPr>
                <w:b/>
                <w:bCs/>
              </w:rPr>
              <w:t>chat</w:t>
            </w:r>
            <w:r w:rsidR="007C27CC">
              <w:rPr>
                <w:b/>
                <w:bCs/>
              </w:rPr>
              <w:t>GPT</w:t>
            </w:r>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2549968F" w14:textId="14BD8ACF"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etp d’IA</w:t>
            </w:r>
            <w:r w:rsidR="00163B7F">
              <w:t>. Les ministères d’éducation doivent se coordonner pour une fois laisser les IA</w:t>
            </w:r>
            <w:r w:rsidR="0046455B">
              <w:t>, rester ouvert d’esprit</w:t>
            </w:r>
          </w:p>
          <w:p w14:paraId="3305A906" w14:textId="77777777"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Système d’enseignement inteligent</w:t>
            </w:r>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4677A22D" w:rsidR="007E5B22" w:rsidRPr="00E66E7D" w:rsidRDefault="007E5B22">
          <w:pPr>
            <w:pStyle w:val="Titre1"/>
            <w:rPr>
              <w:lang w:val="fr-FR"/>
            </w:rPr>
          </w:pPr>
          <w:r>
            <w:rPr>
              <w:lang w:val="fr-FR"/>
            </w:rPr>
            <w:t>Bibliographie</w:t>
          </w:r>
        </w:p>
        <w:sdt>
          <w:sdtPr>
            <w:id w:val="111145805"/>
            <w:bibliography/>
          </w:sdtPr>
          <w:sdtContent>
            <w:p w14:paraId="257B7722" w14:textId="77777777" w:rsidR="00F17CD6" w:rsidRDefault="007E5B22" w:rsidP="00F17CD6">
              <w:pPr>
                <w:pStyle w:val="Bibliographie"/>
                <w:ind w:left="720" w:hanging="720"/>
                <w:rPr>
                  <w:noProof/>
                  <w:kern w:val="0"/>
                  <w:sz w:val="24"/>
                  <w:szCs w:val="24"/>
                  <w:lang w:val="fr-FR"/>
                  <w14:ligatures w14:val="none"/>
                </w:rPr>
              </w:pPr>
              <w:r>
                <w:fldChar w:fldCharType="begin"/>
              </w:r>
              <w:r w:rsidRPr="007C27CC">
                <w:rPr>
                  <w:lang w:val="en-US"/>
                </w:rPr>
                <w:instrText>BIBLIOGRAPHY</w:instrText>
              </w:r>
              <w:r>
                <w:fldChar w:fldCharType="separate"/>
              </w:r>
              <w:r w:rsidR="00F17CD6" w:rsidRPr="007F34F6">
                <w:rPr>
                  <w:noProof/>
                  <w:lang w:val="en-US"/>
                </w:rPr>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C96227B"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76B574F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2A550EFC" w14:textId="77777777" w:rsidR="00F17CD6" w:rsidRPr="007F34F6" w:rsidRDefault="00F17CD6" w:rsidP="00F17CD6">
              <w:pPr>
                <w:pStyle w:val="Bibliographie"/>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1C2C98B7"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75EB5CAC"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614F3B87" w14:textId="77777777" w:rsidR="00F17CD6" w:rsidRDefault="00F17CD6" w:rsidP="00F17CD6">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37AB8C6D" w14:textId="77777777" w:rsidR="00F17CD6" w:rsidRDefault="00F17CD6" w:rsidP="00F17CD6">
              <w:pPr>
                <w:pStyle w:val="Bibliographie"/>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4B36F808" w14:textId="77777777" w:rsidR="00F17CD6" w:rsidRDefault="00F17CD6" w:rsidP="00F17CD6">
              <w:pPr>
                <w:pStyle w:val="Bibliographie"/>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16D61ADC"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79BA518A" w14:textId="0182555A" w:rsidR="002F2D32" w:rsidRDefault="007E5B22" w:rsidP="00F17CD6">
              <w:r>
                <w:rPr>
                  <w:b/>
                  <w:bCs/>
                </w:rPr>
                <w:fldChar w:fldCharType="end"/>
              </w:r>
            </w:p>
          </w:sdtContent>
        </w:sdt>
      </w:sdtContent>
    </w:sdt>
    <w:sectPr w:rsidR="002F2D32" w:rsidSect="00D47B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85AA" w14:textId="77777777" w:rsidR="00D47B30" w:rsidRDefault="00D47B30" w:rsidP="00333B82">
      <w:pPr>
        <w:spacing w:after="0" w:line="240" w:lineRule="auto"/>
      </w:pPr>
      <w:r>
        <w:separator/>
      </w:r>
    </w:p>
  </w:endnote>
  <w:endnote w:type="continuationSeparator" w:id="0">
    <w:p w14:paraId="6549766E" w14:textId="77777777" w:rsidR="00D47B30" w:rsidRDefault="00D47B30" w:rsidP="00333B82">
      <w:pPr>
        <w:spacing w:after="0" w:line="240" w:lineRule="auto"/>
      </w:pPr>
      <w:r>
        <w:continuationSeparator/>
      </w:r>
    </w:p>
  </w:endnote>
  <w:endnote w:type="continuationNotice" w:id="1">
    <w:p w14:paraId="1D73832E" w14:textId="77777777" w:rsidR="00D47B30" w:rsidRDefault="00D47B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8630" w14:textId="77777777" w:rsidR="00D47B30" w:rsidRDefault="00D47B30" w:rsidP="00333B82">
      <w:pPr>
        <w:spacing w:after="0" w:line="240" w:lineRule="auto"/>
      </w:pPr>
      <w:r>
        <w:separator/>
      </w:r>
    </w:p>
  </w:footnote>
  <w:footnote w:type="continuationSeparator" w:id="0">
    <w:p w14:paraId="5A4F9BFB" w14:textId="77777777" w:rsidR="00D47B30" w:rsidRDefault="00D47B30" w:rsidP="00333B82">
      <w:pPr>
        <w:spacing w:after="0" w:line="240" w:lineRule="auto"/>
      </w:pPr>
      <w:r>
        <w:continuationSeparator/>
      </w:r>
    </w:p>
  </w:footnote>
  <w:footnote w:type="continuationNotice" w:id="1">
    <w:p w14:paraId="4CC32870" w14:textId="77777777" w:rsidR="00D47B30" w:rsidRDefault="00D47B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96687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524F"/>
    <w:rsid w:val="000059F8"/>
    <w:rsid w:val="00007660"/>
    <w:rsid w:val="00020B70"/>
    <w:rsid w:val="000248EC"/>
    <w:rsid w:val="00030C98"/>
    <w:rsid w:val="00036F0E"/>
    <w:rsid w:val="00036F75"/>
    <w:rsid w:val="00040072"/>
    <w:rsid w:val="00043AA2"/>
    <w:rsid w:val="00061A21"/>
    <w:rsid w:val="000674F0"/>
    <w:rsid w:val="0007086F"/>
    <w:rsid w:val="000B10BE"/>
    <w:rsid w:val="000D671C"/>
    <w:rsid w:val="000E145C"/>
    <w:rsid w:val="00102DE5"/>
    <w:rsid w:val="00134567"/>
    <w:rsid w:val="00137E24"/>
    <w:rsid w:val="00156C6F"/>
    <w:rsid w:val="00163B7F"/>
    <w:rsid w:val="001659B8"/>
    <w:rsid w:val="00173B8A"/>
    <w:rsid w:val="001770F7"/>
    <w:rsid w:val="001848D0"/>
    <w:rsid w:val="00193706"/>
    <w:rsid w:val="0019519F"/>
    <w:rsid w:val="001C2F44"/>
    <w:rsid w:val="001D1C40"/>
    <w:rsid w:val="002336B2"/>
    <w:rsid w:val="00241840"/>
    <w:rsid w:val="00274B3F"/>
    <w:rsid w:val="00277343"/>
    <w:rsid w:val="0029449A"/>
    <w:rsid w:val="00296513"/>
    <w:rsid w:val="002C737A"/>
    <w:rsid w:val="002E44F0"/>
    <w:rsid w:val="002E4C1B"/>
    <w:rsid w:val="002F2D32"/>
    <w:rsid w:val="00320A5D"/>
    <w:rsid w:val="00321660"/>
    <w:rsid w:val="0033215A"/>
    <w:rsid w:val="00333B82"/>
    <w:rsid w:val="0034553E"/>
    <w:rsid w:val="0034719E"/>
    <w:rsid w:val="00351769"/>
    <w:rsid w:val="00383C05"/>
    <w:rsid w:val="003A241E"/>
    <w:rsid w:val="003B0CA5"/>
    <w:rsid w:val="003B1F1D"/>
    <w:rsid w:val="003B28FC"/>
    <w:rsid w:val="003B3EE6"/>
    <w:rsid w:val="003D7478"/>
    <w:rsid w:val="003E1110"/>
    <w:rsid w:val="003E75E8"/>
    <w:rsid w:val="004069E5"/>
    <w:rsid w:val="00407C55"/>
    <w:rsid w:val="004130CF"/>
    <w:rsid w:val="004377EA"/>
    <w:rsid w:val="004458D1"/>
    <w:rsid w:val="004463CE"/>
    <w:rsid w:val="004617A1"/>
    <w:rsid w:val="0046455B"/>
    <w:rsid w:val="00465D8B"/>
    <w:rsid w:val="00466458"/>
    <w:rsid w:val="00481AB7"/>
    <w:rsid w:val="00492742"/>
    <w:rsid w:val="004B2F87"/>
    <w:rsid w:val="004E0BB0"/>
    <w:rsid w:val="004F3145"/>
    <w:rsid w:val="004F3C0F"/>
    <w:rsid w:val="00511E48"/>
    <w:rsid w:val="005559EC"/>
    <w:rsid w:val="00560122"/>
    <w:rsid w:val="00560307"/>
    <w:rsid w:val="005671BB"/>
    <w:rsid w:val="005A76E3"/>
    <w:rsid w:val="005B5B20"/>
    <w:rsid w:val="005D3172"/>
    <w:rsid w:val="005F051E"/>
    <w:rsid w:val="006047A8"/>
    <w:rsid w:val="006437A1"/>
    <w:rsid w:val="0064693F"/>
    <w:rsid w:val="00646BEE"/>
    <w:rsid w:val="00653A6D"/>
    <w:rsid w:val="00655428"/>
    <w:rsid w:val="006754FB"/>
    <w:rsid w:val="006860D0"/>
    <w:rsid w:val="006E56AD"/>
    <w:rsid w:val="00716F52"/>
    <w:rsid w:val="00720F25"/>
    <w:rsid w:val="00721B89"/>
    <w:rsid w:val="00727BDF"/>
    <w:rsid w:val="0073236D"/>
    <w:rsid w:val="00751342"/>
    <w:rsid w:val="00766983"/>
    <w:rsid w:val="00774E34"/>
    <w:rsid w:val="00791268"/>
    <w:rsid w:val="007C27CC"/>
    <w:rsid w:val="007E5B22"/>
    <w:rsid w:val="007F1A9A"/>
    <w:rsid w:val="007F34F6"/>
    <w:rsid w:val="007F4B50"/>
    <w:rsid w:val="007F543F"/>
    <w:rsid w:val="0083527C"/>
    <w:rsid w:val="0088093D"/>
    <w:rsid w:val="008B0E9E"/>
    <w:rsid w:val="008C2DC7"/>
    <w:rsid w:val="008C5411"/>
    <w:rsid w:val="008D236E"/>
    <w:rsid w:val="008D5D50"/>
    <w:rsid w:val="008E0221"/>
    <w:rsid w:val="008F4865"/>
    <w:rsid w:val="008F7ED6"/>
    <w:rsid w:val="009073BF"/>
    <w:rsid w:val="00913262"/>
    <w:rsid w:val="009223E2"/>
    <w:rsid w:val="00936DC8"/>
    <w:rsid w:val="00943DBD"/>
    <w:rsid w:val="00956E4E"/>
    <w:rsid w:val="0096184E"/>
    <w:rsid w:val="0096535D"/>
    <w:rsid w:val="00967ED9"/>
    <w:rsid w:val="00977D2E"/>
    <w:rsid w:val="00986ADF"/>
    <w:rsid w:val="00995DF8"/>
    <w:rsid w:val="009A341E"/>
    <w:rsid w:val="009B3D38"/>
    <w:rsid w:val="009C6C4C"/>
    <w:rsid w:val="009E1950"/>
    <w:rsid w:val="009E35AA"/>
    <w:rsid w:val="009E463E"/>
    <w:rsid w:val="009F014A"/>
    <w:rsid w:val="009F7D3A"/>
    <w:rsid w:val="00A1124A"/>
    <w:rsid w:val="00A2272D"/>
    <w:rsid w:val="00A3546C"/>
    <w:rsid w:val="00A372C7"/>
    <w:rsid w:val="00A46989"/>
    <w:rsid w:val="00A66969"/>
    <w:rsid w:val="00A82B8E"/>
    <w:rsid w:val="00AB4602"/>
    <w:rsid w:val="00AD691D"/>
    <w:rsid w:val="00AD7D37"/>
    <w:rsid w:val="00B000F8"/>
    <w:rsid w:val="00B04994"/>
    <w:rsid w:val="00B1408E"/>
    <w:rsid w:val="00B32125"/>
    <w:rsid w:val="00B3244F"/>
    <w:rsid w:val="00B34E30"/>
    <w:rsid w:val="00B46316"/>
    <w:rsid w:val="00B54942"/>
    <w:rsid w:val="00B73E6F"/>
    <w:rsid w:val="00B74C3C"/>
    <w:rsid w:val="00B77F8E"/>
    <w:rsid w:val="00BA2E54"/>
    <w:rsid w:val="00BC03DA"/>
    <w:rsid w:val="00BC2113"/>
    <w:rsid w:val="00BD224F"/>
    <w:rsid w:val="00BD6B72"/>
    <w:rsid w:val="00BE04A8"/>
    <w:rsid w:val="00BE0DAF"/>
    <w:rsid w:val="00BE5052"/>
    <w:rsid w:val="00BE75A3"/>
    <w:rsid w:val="00C1031E"/>
    <w:rsid w:val="00C20B58"/>
    <w:rsid w:val="00C22659"/>
    <w:rsid w:val="00C27F0E"/>
    <w:rsid w:val="00C31406"/>
    <w:rsid w:val="00C3191F"/>
    <w:rsid w:val="00C627A7"/>
    <w:rsid w:val="00C73B29"/>
    <w:rsid w:val="00C83FE5"/>
    <w:rsid w:val="00CB4100"/>
    <w:rsid w:val="00CC1F8A"/>
    <w:rsid w:val="00CC1F9E"/>
    <w:rsid w:val="00CC7D1C"/>
    <w:rsid w:val="00CD102C"/>
    <w:rsid w:val="00CE72E9"/>
    <w:rsid w:val="00CF6CD4"/>
    <w:rsid w:val="00CF7C9C"/>
    <w:rsid w:val="00D021E6"/>
    <w:rsid w:val="00D166D1"/>
    <w:rsid w:val="00D34940"/>
    <w:rsid w:val="00D46796"/>
    <w:rsid w:val="00D47B30"/>
    <w:rsid w:val="00D47E35"/>
    <w:rsid w:val="00D70C58"/>
    <w:rsid w:val="00D817B2"/>
    <w:rsid w:val="00D864DC"/>
    <w:rsid w:val="00D918B1"/>
    <w:rsid w:val="00DB267C"/>
    <w:rsid w:val="00DB6584"/>
    <w:rsid w:val="00DC1F64"/>
    <w:rsid w:val="00DD4417"/>
    <w:rsid w:val="00DE2533"/>
    <w:rsid w:val="00DE3354"/>
    <w:rsid w:val="00DF7B89"/>
    <w:rsid w:val="00E049B9"/>
    <w:rsid w:val="00E11AA1"/>
    <w:rsid w:val="00E36BE1"/>
    <w:rsid w:val="00E4180E"/>
    <w:rsid w:val="00E66E7D"/>
    <w:rsid w:val="00E73B36"/>
    <w:rsid w:val="00EF2216"/>
    <w:rsid w:val="00F17CD6"/>
    <w:rsid w:val="00F2298F"/>
    <w:rsid w:val="00F262C7"/>
    <w:rsid w:val="00F27BF3"/>
    <w:rsid w:val="00F27D4B"/>
    <w:rsid w:val="00F322CC"/>
    <w:rsid w:val="00F676C2"/>
    <w:rsid w:val="00FC4715"/>
    <w:rsid w:val="00FD093A"/>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s>
</file>

<file path=customXml/itemProps1.xml><?xml version="1.0" encoding="utf-8"?>
<ds:datastoreItem xmlns:ds="http://schemas.openxmlformats.org/officeDocument/2006/customXml" ds:itemID="{793EF228-4740-43B3-895E-E58DAED8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1349</Words>
  <Characters>7422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8754</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191</cp:revision>
  <dcterms:created xsi:type="dcterms:W3CDTF">2024-02-27T15:16:00Z</dcterms:created>
  <dcterms:modified xsi:type="dcterms:W3CDTF">2024-03-14T16:25:00Z</dcterms:modified>
</cp:coreProperties>
</file>