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pacing/>
        <w:ind/>
        <w:rPr/>
      </w:pPr>
      <w:r/>
      <w:r/>
    </w:p>
    <w:p w14:paraId="11B43169">
      <w:pPr>
        <w:bidi w:val="false"/>
        <w:spacing w:after="200" w:before="0" w:line="576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UNIVERSIDAD MANUELA BELTRAN</w:t>
      </w:r>
      <w:r/>
    </w:p>
    <w:p w14:paraId="33BFDEE6">
      <w:pPr>
        <w:spacing/>
        <w:ind w:right="120" w:firstLine="0" w:left="120"/>
        <w:rPr/>
      </w:pPr>
      <w:r>
        <w:rPr>
          <w:sz w:val="24"/>
        </w:rPr>
      </w:r>
      <w:r/>
    </w:p>
    <w:p w14:paraId="01348F46">
      <w:pPr>
        <w:bidi w:val="false"/>
        <w:spacing w:after="200" w:before="0" w:line="576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INGENIERÍA DE SOFTWARE</w:t>
      </w:r>
      <w:r/>
    </w:p>
    <w:p w14:paraId="0144FF67">
      <w:pPr>
        <w:spacing/>
        <w:ind w:right="120" w:firstLine="0" w:left="120"/>
        <w:rPr/>
      </w:pPr>
      <w:r>
        <w:rPr>
          <w:sz w:val="24"/>
        </w:rPr>
      </w:r>
      <w:r/>
    </w:p>
    <w:p w14:paraId="2245F5B5">
      <w:pPr>
        <w:bidi w:val="false"/>
        <w:spacing w:after="200" w:before="0" w:line="576" w:lineRule="auto"/>
        <w:ind w:right="0" w:firstLine="0" w:left="0"/>
        <w:jc w:val="left"/>
        <w:rPr>
          <w:sz w:val="24"/>
          <w:szCs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 w14:paraId="7AC86FF5">
      <w:pPr>
        <w:bidi w:val="false"/>
        <w:spacing w:after="200" w:before="0" w:line="576" w:lineRule="auto"/>
        <w:ind w:right="0" w:firstLine="0" w:left="0"/>
        <w:jc w:val="left"/>
        <w:rPr>
          <w:sz w:val="24"/>
          <w:szCs w:val="24"/>
        </w:rPr>
      </w:pPr>
      <w:r>
        <w:rPr>
          <w:sz w:val="24"/>
        </w:rPr>
      </w:r>
      <w:r/>
    </w:p>
    <w:p w14:paraId="43BDD270">
      <w:pPr>
        <w:bidi w:val="false"/>
        <w:spacing w:after="200" w:before="0" w:line="576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none"/>
        </w:rPr>
        <w:t xml:space="preserve">TALLER 2 - Automatizacion de Deciciones</w:t>
      </w:r>
      <w:r/>
    </w:p>
    <w:p w14:paraId="4C912657">
      <w:pPr>
        <w:spacing/>
        <w:ind w:right="120" w:firstLine="0" w:left="120"/>
        <w:rPr>
          <w:sz w:val="24"/>
          <w:szCs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 w14:paraId="7CB72BE3">
      <w:pPr>
        <w:spacing/>
        <w:ind w:right="120" w:firstLine="0" w:left="12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70BF87C">
      <w:pPr>
        <w:spacing/>
        <w:ind w:right="120" w:firstLine="0" w:left="0"/>
        <w:rPr>
          <w:sz w:val="24"/>
          <w:szCs w:val="24"/>
        </w:rPr>
      </w:pPr>
      <w:r>
        <w:rPr>
          <w:sz w:val="24"/>
        </w:rPr>
      </w:r>
      <w:r/>
    </w:p>
    <w:p w14:paraId="138A84AE">
      <w:pPr>
        <w:bidi w:val="false"/>
        <w:spacing w:after="200" w:before="0" w:line="576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Santiago Stiven Gutierrez Moralez </w:t>
      </w:r>
      <w:r/>
    </w:p>
    <w:p w14:paraId="1F6A9E17">
      <w:pPr>
        <w:bidi w:val="false"/>
        <w:spacing w:after="200" w:before="0" w:line="576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Nicolás Esteban Rodríguez Calderón </w:t>
      </w:r>
      <w:r/>
    </w:p>
    <w:p w14:paraId="03D00860">
      <w:pPr>
        <w:spacing/>
        <w:ind w:right="120" w:firstLine="0" w:left="120"/>
        <w:rPr>
          <w:sz w:val="24"/>
          <w:szCs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 w14:paraId="78C23BB2">
      <w:pPr>
        <w:spacing/>
        <w:ind w:right="120" w:firstLine="0" w:left="12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6A687BB">
      <w:pPr>
        <w:spacing/>
        <w:ind w:right="120" w:firstLine="0" w:left="12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192583F">
      <w:pPr>
        <w:spacing/>
        <w:ind w:right="120" w:firstLine="0" w:left="12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97650EB">
      <w:pPr>
        <w:spacing/>
        <w:ind w:right="120" w:firstLine="0" w:left="120"/>
        <w:rPr>
          <w:sz w:val="24"/>
          <w:szCs w:val="24"/>
        </w:rPr>
      </w:pPr>
      <w:r>
        <w:rPr>
          <w:sz w:val="24"/>
        </w:rPr>
      </w:r>
      <w:r/>
    </w:p>
    <w:p w14:paraId="53F9E86B">
      <w:pPr>
        <w:bidi w:val="false"/>
        <w:spacing w:after="200" w:before="0" w:line="576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Inteligencia de negocios</w:t>
      </w:r>
      <w:r/>
    </w:p>
    <w:p w14:paraId="69207587">
      <w:pPr>
        <w:bidi w:val="false"/>
        <w:spacing w:after="200" w:before="0" w:line="576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Juan Jose Osorio Tabares </w:t>
      </w:r>
      <w:r/>
    </w:p>
    <w:p w14:paraId="11CA6556">
      <w:pPr>
        <w:bidi w:val="false"/>
        <w:spacing w:after="200" w:before="0" w:line="576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4"/>
          <w:u w:val="none"/>
          <w:lang w:val="es-ES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 xml:space="preserve"> de octubre del 202</w:t>
      </w:r>
      <w:r>
        <w:rPr>
          <w:rFonts w:ascii="Times New Roman" w:hAnsi="Times New Roman" w:eastAsia="Times New Roman" w:cs="Times New Roman"/>
          <w:color w:val="000000"/>
          <w:sz w:val="24"/>
          <w:u w:val="none"/>
          <w:lang w:val="es-ES"/>
        </w:rPr>
        <w:t xml:space="preserve">6</w:t>
      </w:r>
      <w:r>
        <w:br w:type="page" w:clear="all"/>
      </w:r>
      <w:r/>
      <w:r>
        <w:rPr>
          <w:sz w:val="24"/>
        </w:rPr>
      </w:r>
    </w:p>
    <w:p>
      <w:pPr>
        <w:pStyle w:val="703"/>
        <w:spacing/>
        <w:ind/>
        <w:rPr/>
      </w:pPr>
      <w:r>
        <w:t xml:space="preserve">1. Situación inicial y datos</w:t>
      </w:r>
      <w:r/>
    </w:p>
    <w:p>
      <w:pPr>
        <w:spacing/>
        <w:ind/>
        <w:jc w:val="both"/>
        <w:rPr/>
      </w:pPr>
      <w:r>
        <w:rPr>
          <w:b w:val="0"/>
          <w:i w:val="0"/>
        </w:rPr>
        <w:t xml:space="preserve">Una institución educativa encuestó a 100 estudiantes sobr</w:t>
      </w:r>
      <w:r>
        <w:rPr>
          <w:b w:val="0"/>
          <w:i w:val="0"/>
        </w:rPr>
        <w:t xml:space="preserve">e la actividad que realizan en su tiempo libre. Se trabajó únicamente con los datos que entrega la guía, sin modificarlos. Como la suma de las seis categorías es 100 y la población encuestada también es 100, cada estudiante aparece en una sola categoría y </w:t>
      </w:r>
      <w:r>
        <w:rPr>
          <w:b/>
          <w:i w:val="0"/>
        </w:rPr>
        <w:t xml:space="preserve">el número de estudiantes coincide con el porcentaje</w:t>
      </w:r>
      <w:r>
        <w:rPr>
          <w:b w:val="0"/>
          <w:i w:val="0"/>
        </w:rPr>
        <w:t xml:space="preserve">.</w:t>
      </w:r>
      <w:r/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>
        <w:trPr/>
        <w:tc>
          <w:tcPr>
            <w:shd w:val="clear" w:color="auto" w:fill="1f4e79"/>
            <w:tcBorders/>
            <w:tcW w:w="3402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Actividad</w:t>
            </w:r>
            <w:r/>
          </w:p>
        </w:tc>
        <w:tc>
          <w:tcPr>
            <w:shd w:val="clear" w:color="auto" w:fill="1f4e79"/>
            <w:tcBorders/>
            <w:tcW w:w="1871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N.º de estudiantes</w:t>
            </w:r>
            <w:r/>
          </w:p>
        </w:tc>
        <w:tc>
          <w:tcPr>
            <w:shd w:val="clear" w:color="auto" w:fill="1f4e79"/>
            <w:tcBorders/>
            <w:tcW w:w="1814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% de la población</w:t>
            </w:r>
            <w:r/>
          </w:p>
        </w:tc>
        <w:tc>
          <w:tcPr>
            <w:shd w:val="clear" w:color="auto" w:fill="1f4e79"/>
            <w:tcBorders/>
            <w:tcW w:w="2268" w:type="dxa"/>
          </w:tcPr>
          <w:p>
            <w:pPr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% acumulado (de mayor a menor)</w:t>
            </w:r>
            <w:r/>
          </w:p>
        </w:tc>
      </w:tr>
      <w:tr>
        <w:trPr/>
        <w:tc>
          <w:tcPr>
            <w:tcBorders/>
            <w:tcW w:w="3402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Ver series o películas</w:t>
            </w:r>
            <w:r/>
          </w:p>
        </w:tc>
        <w:tc>
          <w:tcPr>
            <w:tcBorders/>
            <w:tcW w:w="1871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28</w:t>
            </w:r>
            <w:r/>
          </w:p>
        </w:tc>
        <w:tc>
          <w:tcPr>
            <w:tcBorders/>
            <w:tcW w:w="181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28 %</w:t>
            </w:r>
            <w:r/>
          </w:p>
        </w:tc>
        <w:tc>
          <w:tcPr>
            <w:tcBorders/>
            <w:tcW w:w="2268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28 %</w:t>
            </w:r>
            <w:r/>
          </w:p>
        </w:tc>
      </w:tr>
      <w:tr>
        <w:trPr/>
        <w:tc>
          <w:tcPr>
            <w:shd w:val="clear" w:color="auto" w:fill="eef3f9"/>
            <w:tcBorders/>
            <w:tcW w:w="3402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Escuchar música</w:t>
            </w:r>
            <w:r/>
          </w:p>
        </w:tc>
        <w:tc>
          <w:tcPr>
            <w:shd w:val="clear" w:color="auto" w:fill="eef3f9"/>
            <w:tcBorders/>
            <w:tcW w:w="1871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22</w:t>
            </w:r>
            <w:r/>
          </w:p>
        </w:tc>
        <w:tc>
          <w:tcPr>
            <w:shd w:val="clear" w:color="auto" w:fill="eef3f9"/>
            <w:tcBorders/>
            <w:tcW w:w="181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22 %</w:t>
            </w:r>
            <w:r/>
          </w:p>
        </w:tc>
        <w:tc>
          <w:tcPr>
            <w:shd w:val="clear" w:color="auto" w:fill="eef3f9"/>
            <w:tcBorders/>
            <w:tcW w:w="2268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50 %</w:t>
            </w:r>
            <w:r/>
          </w:p>
        </w:tc>
      </w:tr>
      <w:tr>
        <w:trPr/>
        <w:tc>
          <w:tcPr>
            <w:tcBorders/>
            <w:tcW w:w="3402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Practicar deporte</w:t>
            </w:r>
            <w:r/>
          </w:p>
        </w:tc>
        <w:tc>
          <w:tcPr>
            <w:tcBorders/>
            <w:tcW w:w="1871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18</w:t>
            </w:r>
            <w:r/>
          </w:p>
        </w:tc>
        <w:tc>
          <w:tcPr>
            <w:tcBorders/>
            <w:tcW w:w="181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18 %</w:t>
            </w:r>
            <w:r/>
          </w:p>
        </w:tc>
        <w:tc>
          <w:tcPr>
            <w:tcBorders/>
            <w:tcW w:w="2268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68 %</w:t>
            </w:r>
            <w:r/>
          </w:p>
        </w:tc>
      </w:tr>
      <w:tr>
        <w:trPr/>
        <w:tc>
          <w:tcPr>
            <w:shd w:val="clear" w:color="auto" w:fill="eef3f9"/>
            <w:tcBorders/>
            <w:tcW w:w="3402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Jugar videojuegos</w:t>
            </w:r>
            <w:r/>
          </w:p>
        </w:tc>
        <w:tc>
          <w:tcPr>
            <w:shd w:val="clear" w:color="auto" w:fill="eef3f9"/>
            <w:tcBorders/>
            <w:tcW w:w="1871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15</w:t>
            </w:r>
            <w:r/>
          </w:p>
        </w:tc>
        <w:tc>
          <w:tcPr>
            <w:shd w:val="clear" w:color="auto" w:fill="eef3f9"/>
            <w:tcBorders/>
            <w:tcW w:w="181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15 %</w:t>
            </w:r>
            <w:r/>
          </w:p>
        </w:tc>
        <w:tc>
          <w:tcPr>
            <w:shd w:val="clear" w:color="auto" w:fill="eef3f9"/>
            <w:tcBorders/>
            <w:tcW w:w="2268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83 %</w:t>
            </w:r>
            <w:r/>
          </w:p>
        </w:tc>
      </w:tr>
      <w:tr>
        <w:trPr/>
        <w:tc>
          <w:tcPr>
            <w:tcBorders/>
            <w:tcW w:w="3402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Leer</w:t>
            </w:r>
            <w:r/>
          </w:p>
        </w:tc>
        <w:tc>
          <w:tcPr>
            <w:tcBorders/>
            <w:tcW w:w="1871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10</w:t>
            </w:r>
            <w:r/>
          </w:p>
        </w:tc>
        <w:tc>
          <w:tcPr>
            <w:tcBorders/>
            <w:tcW w:w="181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10 %</w:t>
            </w:r>
            <w:r/>
          </w:p>
        </w:tc>
        <w:tc>
          <w:tcPr>
            <w:tcBorders/>
            <w:tcW w:w="2268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93 %</w:t>
            </w:r>
            <w:r/>
          </w:p>
        </w:tc>
      </w:tr>
      <w:tr>
        <w:trPr/>
        <w:tc>
          <w:tcPr>
            <w:shd w:val="clear" w:color="auto" w:fill="eef3f9"/>
            <w:tcBorders/>
            <w:tcW w:w="3402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Otras actividades</w:t>
            </w:r>
            <w:r/>
          </w:p>
        </w:tc>
        <w:tc>
          <w:tcPr>
            <w:shd w:val="clear" w:color="auto" w:fill="eef3f9"/>
            <w:tcBorders/>
            <w:tcW w:w="1871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7</w:t>
            </w:r>
            <w:r/>
          </w:p>
        </w:tc>
        <w:tc>
          <w:tcPr>
            <w:shd w:val="clear" w:color="auto" w:fill="eef3f9"/>
            <w:tcBorders/>
            <w:tcW w:w="1814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7 %</w:t>
            </w:r>
            <w:r/>
          </w:p>
        </w:tc>
        <w:tc>
          <w:tcPr>
            <w:shd w:val="clear" w:color="auto" w:fill="eef3f9"/>
            <w:tcBorders/>
            <w:tcW w:w="2268" w:type="dxa"/>
          </w:tcPr>
          <w:p>
            <w:pPr>
              <w:spacing/>
              <w:ind/>
              <w:rPr/>
            </w:pPr>
            <w:r>
              <w:rPr>
                <w:b w:val="0"/>
                <w:sz w:val="20"/>
              </w:rPr>
              <w:t xml:space="preserve">100 %</w:t>
            </w:r>
            <w:r/>
          </w:p>
        </w:tc>
      </w:tr>
      <w:tr>
        <w:trPr/>
        <w:tc>
          <w:tcPr>
            <w:tcBorders/>
            <w:tcW w:w="3402" w:type="dxa"/>
          </w:tcPr>
          <w:p>
            <w:pPr>
              <w:spacing/>
              <w:ind/>
              <w:rPr/>
            </w:pPr>
            <w:r>
              <w:rPr>
                <w:b/>
                <w:sz w:val="20"/>
              </w:rPr>
              <w:t xml:space="preserve">Total</w:t>
            </w:r>
            <w:r/>
          </w:p>
        </w:tc>
        <w:tc>
          <w:tcPr>
            <w:tcBorders/>
            <w:tcW w:w="1871" w:type="dxa"/>
          </w:tcPr>
          <w:p>
            <w:pPr>
              <w:spacing/>
              <w:ind/>
              <w:rPr/>
            </w:pPr>
            <w:r>
              <w:rPr>
                <w:b/>
                <w:sz w:val="20"/>
              </w:rPr>
              <w:t xml:space="preserve">100</w:t>
            </w:r>
            <w:r/>
          </w:p>
        </w:tc>
        <w:tc>
          <w:tcPr>
            <w:tcBorders/>
            <w:tcW w:w="1814" w:type="dxa"/>
          </w:tcPr>
          <w:p>
            <w:pPr>
              <w:spacing/>
              <w:ind/>
              <w:rPr/>
            </w:pPr>
            <w:r>
              <w:rPr>
                <w:b/>
                <w:sz w:val="20"/>
              </w:rPr>
              <w:t xml:space="preserve">100 %</w:t>
            </w:r>
            <w:r/>
          </w:p>
        </w:tc>
        <w:tc>
          <w:tcPr>
            <w:tcBorders/>
            <w:tcW w:w="2268" w:type="dxa"/>
          </w:tcPr>
          <w:p>
            <w:pPr>
              <w:spacing/>
              <w:ind/>
              <w:rPr/>
            </w:pPr>
            <w:r/>
            <w:r/>
          </w:p>
        </w:tc>
      </w:tr>
    </w:tbl>
    <w:p>
      <w:pPr>
        <w:spacing/>
        <w:ind/>
        <w:rPr/>
      </w:pPr>
      <w:r/>
      <w:r/>
    </w:p>
    <w:p>
      <w:pPr>
        <w:spacing/>
        <w:ind/>
        <w:jc w:val="both"/>
        <w:rPr/>
      </w:pPr>
      <w:r>
        <w:rPr>
          <w:b/>
          <w:i w:val="0"/>
        </w:rPr>
        <w:t xml:space="preserve">Validación y trazabilidad.</w:t>
      </w:r>
      <w:r>
        <w:rPr>
          <w:b w:val="0"/>
          <w:i w:val="0"/>
        </w:rPr>
        <w:t xml:space="preserve"> Población encuestada = 100; suma de las categorías = 28 + 22 + 18 + 15 + 10 + 7 = 100. No hay categorías repetidas ni valores negativos o decimales. Los indicadores de este do</w:t>
      </w:r>
      <w:r>
        <w:rPr>
          <w:b w:val="0"/>
          <w:i w:val="0"/>
        </w:rPr>
        <w:t xml:space="preserve">cumento se calcularon con estos mismos datos, tanto a mano como con el software de la FASE 2 (sus pruebas automáticas verifican que la moda sea «Ver series o películas», el mínimo «Otras actividades», el promedio 16,67 y el acumulado 28-50-68-83-93-100 %).</w:t>
      </w:r>
      <w:r/>
    </w:p>
    <w:p>
      <w:pPr>
        <w:pStyle w:val="703"/>
        <w:spacing/>
        <w:ind/>
        <w:rPr/>
      </w:pPr>
      <w:r>
        <w:t xml:space="preserve">2. Visualización de los datos</w:t>
      </w:r>
      <w:r/>
    </w:p>
    <w:p>
      <w:pPr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3225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1_barra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60000" cy="322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3.54pt;height:253.9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spacing/>
        <w:ind/>
        <w:jc w:val="center"/>
        <w:rPr/>
      </w:pPr>
      <w:r>
        <w:rPr>
          <w:i/>
          <w:sz w:val="18"/>
        </w:rPr>
        <w:t xml:space="preserve">Figura 1. Gráfico de barras con los datos de la guía (generado con el software de la FASE 2).</w:t>
      </w:r>
      <w:r/>
    </w:p>
    <w:p>
      <w:pPr>
        <w:pStyle w:val="703"/>
        <w:spacing/>
        <w:ind/>
        <w:rPr/>
      </w:pPr>
      <w:r>
        <w:t xml:space="preserve">3. Preguntas de interpretación</w:t>
      </w:r>
      <w:r/>
    </w:p>
    <w:p>
      <w:pPr>
        <w:spacing/>
        <w:ind/>
        <w:jc w:val="both"/>
        <w:rPr/>
      </w:pPr>
      <w:r>
        <w:rPr>
          <w:b/>
          <w:i w:val="0"/>
        </w:rPr>
        <w:t xml:space="preserve">3.1 ¿Cuál es la actividad más frecuente?</w:t>
      </w:r>
      <w:r/>
    </w:p>
    <w:p>
      <w:pPr>
        <w:spacing/>
        <w:ind/>
        <w:jc w:val="both"/>
        <w:rPr/>
      </w:pPr>
      <w:r>
        <w:rPr>
          <w:b/>
          <w:i w:val="0"/>
        </w:rPr>
        <w:t xml:space="preserve">Ver series o películas</w:t>
      </w:r>
      <w:r>
        <w:rPr>
          <w:b w:val="0"/>
          <w:i w:val="0"/>
        </w:rPr>
        <w:t xml:space="preserve">, con 28 estudiantes (28 %). Es la barra más alta del gráfico.</w:t>
      </w:r>
      <w:r/>
    </w:p>
    <w:p>
      <w:pPr>
        <w:spacing/>
        <w:ind/>
        <w:jc w:val="both"/>
        <w:rPr/>
      </w:pPr>
      <w:r>
        <w:rPr>
          <w:b/>
          <w:i w:val="0"/>
        </w:rPr>
        <w:t xml:space="preserve">3.2 ¿Cuál es la actividad menos frecuente?</w:t>
      </w:r>
      <w:r/>
    </w:p>
    <w:p>
      <w:pPr>
        <w:spacing/>
        <w:ind/>
        <w:jc w:val="both"/>
        <w:rPr/>
      </w:pPr>
      <w:r>
        <w:rPr>
          <w:b/>
          <w:i w:val="0"/>
        </w:rPr>
        <w:t xml:space="preserve">Otras actividades</w:t>
      </w:r>
      <w:r>
        <w:rPr>
          <w:b w:val="0"/>
          <w:i w:val="0"/>
        </w:rPr>
        <w:t xml:space="preserve">, con 7 estudiantes (7 %). Entre las actividades con nombre propio, la menos frecuente es </w:t>
      </w:r>
      <w:r>
        <w:rPr>
          <w:b/>
          <w:i w:val="0"/>
        </w:rPr>
        <w:t xml:space="preserve">Leer</w:t>
      </w:r>
      <w:r>
        <w:rPr>
          <w:b w:val="0"/>
          <w:i w:val="0"/>
        </w:rPr>
        <w:t xml:space="preserve">, con 10 estudiantes (10 %).</w:t>
      </w:r>
      <w:r/>
    </w:p>
    <w:p>
      <w:pPr>
        <w:spacing/>
        <w:ind/>
        <w:jc w:val="both"/>
        <w:rPr/>
      </w:pPr>
      <w:r>
        <w:rPr>
          <w:b/>
          <w:i w:val="0"/>
        </w:rPr>
        <w:t xml:space="preserve">3.3 ¿Cuántos estudiantes prefieren ver series o películas?</w:t>
      </w:r>
      <w:r/>
    </w:p>
    <w:p>
      <w:pPr>
        <w:spacing/>
        <w:ind/>
        <w:jc w:val="both"/>
        <w:rPr/>
      </w:pPr>
      <w:r>
        <w:rPr>
          <w:b/>
          <w:i w:val="0"/>
        </w:rPr>
        <w:t xml:space="preserve">28 estudiantes</w:t>
      </w:r>
      <w:r>
        <w:rPr>
          <w:b w:val="0"/>
          <w:i w:val="0"/>
        </w:rPr>
        <w:t xml:space="preserve">, el 28 % de los encuestados.</w:t>
      </w:r>
      <w:r/>
    </w:p>
    <w:p>
      <w:pPr>
        <w:spacing/>
        <w:ind/>
        <w:jc w:val="both"/>
        <w:rPr/>
      </w:pPr>
      <w:r>
        <w:rPr>
          <w:b/>
          <w:i w:val="0"/>
        </w:rPr>
        <w:t xml:space="preserve">3.4 ¿Cuántos estudiantes más prefieren escuchar música que leer?</w:t>
      </w:r>
      <w:r/>
    </w:p>
    <w:p>
      <w:pPr>
        <w:spacing/>
        <w:ind/>
        <w:jc w:val="both"/>
        <w:rPr/>
      </w:pPr>
      <w:r>
        <w:rPr>
          <w:b w:val="0"/>
          <w:i w:val="0"/>
        </w:rPr>
        <w:t xml:space="preserve">22 − 10 = </w:t>
      </w:r>
      <w:r>
        <w:rPr>
          <w:b/>
          <w:i w:val="0"/>
        </w:rPr>
        <w:t xml:space="preserve">12 estudiantes más</w:t>
      </w:r>
      <w:r>
        <w:rPr>
          <w:b w:val="0"/>
          <w:i w:val="0"/>
        </w:rPr>
        <w:t xml:space="preserve">. Escuchar música tiene 2,2 veces los estudiantes de Leer.</w:t>
      </w:r>
      <w:r/>
    </w:p>
    <w:p>
      <w:pPr>
        <w:spacing/>
        <w:ind/>
        <w:jc w:val="both"/>
        <w:rPr/>
      </w:pPr>
      <w:r>
        <w:rPr>
          <w:b/>
          <w:i w:val="0"/>
        </w:rPr>
        <w:t xml:space="preserve">3.5 ¿Qué actividades son realizadas por más de 15 estudiantes?</w:t>
      </w:r>
      <w:r/>
    </w:p>
    <w:p>
      <w:pPr>
        <w:spacing/>
        <w:ind/>
        <w:jc w:val="both"/>
        <w:rPr/>
      </w:pPr>
      <w:r>
        <w:rPr>
          <w:b/>
          <w:i w:val="0"/>
        </w:rPr>
        <w:t xml:space="preserve">Ver series o películas (28), Escuchar música (22) y Practicar deporte (18)</w:t>
      </w:r>
      <w:r>
        <w:rPr>
          <w:b w:val="0"/>
          <w:i w:val="0"/>
        </w:rPr>
        <w:t xml:space="preserve">. Jugar videojuegos tiene exactamente 15, por lo que no es «más de 15». Estas tres actividades reúnen 68 estudiantes (68 %).</w:t>
      </w:r>
      <w:r/>
    </w:p>
    <w:p>
      <w:pPr>
        <w:spacing/>
        <w:ind/>
        <w:jc w:val="both"/>
        <w:rPr/>
      </w:pPr>
      <w:r>
        <w:rPr>
          <w:b/>
          <w:i w:val="0"/>
        </w:rPr>
        <w:t xml:space="preserve">3.6 ¿Qué porcentaje de los estudiantes practica deporte?</w:t>
      </w:r>
      <w:r/>
    </w:p>
    <w:p>
      <w:pPr>
        <w:spacing/>
        <w:ind/>
        <w:jc w:val="both"/>
        <w:rPr/>
      </w:pPr>
      <w:r>
        <w:rPr>
          <w:b w:val="0"/>
          <w:i w:val="0"/>
        </w:rPr>
        <w:t xml:space="preserve">18 / 100 × 100 = </w:t>
      </w:r>
      <w:r>
        <w:rPr>
          <w:b/>
          <w:i w:val="0"/>
        </w:rPr>
        <w:t xml:space="preserve">18 %</w:t>
      </w:r>
      <w:r>
        <w:rPr>
          <w:b w:val="0"/>
          <w:i w:val="0"/>
        </w:rPr>
        <w:t xml:space="preserve">. Casi uno de cada cinco estudiantes.</w:t>
      </w:r>
      <w:r/>
    </w:p>
    <w:p>
      <w:pPr>
        <w:spacing/>
        <w:ind/>
        <w:jc w:val="both"/>
        <w:rPr/>
      </w:pPr>
      <w:r>
        <w:rPr>
          <w:b/>
          <w:i w:val="0"/>
        </w:rPr>
        <w:t xml:space="preserve">3.7 ¿Qué diferencias importantes observas entre las actividades?</w:t>
      </w:r>
      <w:r/>
    </w:p>
    <w:p>
      <w:pPr>
        <w:spacing/>
        <w:ind/>
        <w:jc w:val="both"/>
        <w:rPr/>
      </w:pPr>
      <w:r>
        <w:rPr>
          <w:b w:val="0"/>
          <w:i w:val="0"/>
        </w:rPr>
        <w:t xml:space="preserve">La actividad más frecuente (28) </w:t>
      </w:r>
      <w:r>
        <w:rPr>
          <w:b/>
          <w:i w:val="0"/>
        </w:rPr>
        <w:t xml:space="preserve">cuadruplica</w:t>
      </w:r>
      <w:r>
        <w:rPr>
          <w:b w:val="0"/>
          <w:i w:val="0"/>
        </w:rPr>
        <w:t xml:space="preserve"> a la menos frecuente (7), con una diferencia de 21 estudiantes. Las dos primeras (series y música) reúnen </w:t>
      </w:r>
      <w:r>
        <w:rPr>
          <w:b/>
          <w:i w:val="0"/>
        </w:rPr>
        <w:t xml:space="preserve">la mitad</w:t>
      </w:r>
      <w:r>
        <w:rPr>
          <w:b w:val="0"/>
          <w:i w:val="0"/>
        </w:rPr>
        <w:t xml:space="preserve"> de los estudiantes (50 %). Ver series casi </w:t>
      </w:r>
      <w:r>
        <w:rPr>
          <w:b/>
          <w:i w:val="0"/>
        </w:rPr>
        <w:t xml:space="preserve">triplica</w:t>
      </w:r>
      <w:r>
        <w:rPr>
          <w:b w:val="0"/>
          <w:i w:val="0"/>
        </w:rPr>
        <w:t xml:space="preserve"> a leer (28 frente a 10). Practicar deporte (18) supera a jugar videojuegos (15) por 3 estudiantes. Las diferencias entre categorías vecinas son pequeñas (6, 4, 3, 5 y 3 estudiantes): la distribución baja de forma escalonada, sin saltos bruscos.</w:t>
      </w:r>
      <w:r/>
    </w:p>
    <w:p>
      <w:pPr>
        <w:spacing/>
        <w:ind/>
        <w:jc w:val="both"/>
        <w:rPr/>
      </w:pPr>
      <w:r>
        <w:rPr>
          <w:b/>
          <w:i w:val="0"/>
        </w:rPr>
        <w:t xml:space="preserve">3.8 ¿Qué conclusión general puedes obtener a partir de los datos?</w:t>
      </w:r>
      <w:r/>
    </w:p>
    <w:p>
      <w:pPr>
        <w:spacing/>
        <w:ind/>
        <w:jc w:val="both"/>
        <w:rPr/>
      </w:pPr>
      <w:r>
        <w:rPr>
          <w:b w:val="0"/>
          <w:i w:val="0"/>
        </w:rPr>
        <w:t xml:space="preserve">Las preferencias se concentran en el </w:t>
      </w:r>
      <w:r>
        <w:rPr>
          <w:b/>
          <w:i w:val="0"/>
        </w:rPr>
        <w:t xml:space="preserve">entretenimiento audiovisual y musical</w:t>
      </w:r>
      <w:r>
        <w:rPr>
          <w:b w:val="0"/>
          <w:i w:val="0"/>
        </w:rPr>
        <w:t xml:space="preserve">: series y música suman 50 %. Practicar deporte ocupa un lugar intermedio importante (18 %), y la lectura y otras actividades son minoritarias (17 % entre las dos). Ninguna actividad tiene la mayoría: la más elegida no llega a un tercio de los estudiantes.</w:t>
      </w:r>
      <w:r/>
    </w:p>
    <w:p>
      <w:pPr>
        <w:spacing/>
        <w:ind/>
        <w:jc w:val="both"/>
        <w:rPr/>
      </w:pPr>
      <w:r>
        <w:rPr>
          <w:b/>
          <w:i w:val="0"/>
        </w:rPr>
        <w:t xml:space="preserve">3.9 ¿Qué información no podemos conocer a partir de este gráfico?</w:t>
      </w:r>
      <w:r/>
    </w:p>
    <w:p>
      <w:pPr>
        <w:spacing/>
        <w:ind/>
        <w:jc w:val="both"/>
        <w:rPr/>
      </w:pPr>
      <w:r>
        <w:rPr>
          <w:b w:val="0"/>
          <w:i w:val="0"/>
        </w:rPr>
        <w:t xml:space="preserve">No sabemos </w:t>
      </w:r>
      <w:r>
        <w:rPr>
          <w:b/>
          <w:i w:val="0"/>
        </w:rPr>
        <w:t xml:space="preserve">cuánto tiempo</w:t>
      </w:r>
      <w:r>
        <w:rPr>
          <w:b w:val="0"/>
          <w:i w:val="0"/>
        </w:rPr>
        <w:t xml:space="preserve"> dedica cada estudiante a cada actividad, ni con qué frecuencia. Tampoco sabemos si la pregunta permitía una sola respuesta (la suma de 100 lo sugiere), ni la edad, el grado o el sexo de los estudiantes. No sab</w:t>
      </w:r>
      <w:r>
        <w:rPr>
          <w:b w:val="0"/>
          <w:i w:val="0"/>
        </w:rPr>
        <w:t xml:space="preserve">emos qué incluye «Otras actividades», si la música se escucha en una pantalla, ni los motivos de cada preferencia. Tampoco conocemos cómo se eligieron los 100 estudiantes, ni si representan a toda la institución, ni si los resultados cambian con el tiempo.</w:t>
      </w:r>
      <w:r/>
    </w:p>
    <w:p>
      <w:pPr>
        <w:spacing/>
        <w:ind/>
        <w:jc w:val="both"/>
        <w:rPr/>
      </w:pPr>
      <w:r>
        <w:rPr>
          <w:b/>
          <w:i w:val="0"/>
        </w:rPr>
        <w:t xml:space="preserve">3.10 Si tuvieras que presentar estos resultados a la institución, ¿qué otro tipo de gráfico utilizarías? Desarrollo de la propuesta y justificación.</w:t>
      </w:r>
      <w:r/>
    </w:p>
    <w:p>
      <w:pPr>
        <w:spacing/>
        <w:ind/>
        <w:jc w:val="both"/>
        <w:rPr/>
      </w:pPr>
      <w:r>
        <w:rPr>
          <w:b w:val="0"/>
          <w:i w:val="0"/>
        </w:rPr>
        <w:t xml:space="preserve">Se propone un </w:t>
      </w:r>
      <w:r>
        <w:rPr>
          <w:b/>
          <w:i w:val="0"/>
        </w:rPr>
        <w:t xml:space="preserve">gráfico de barras horizontales ordenado de mayor a menor, con la cantidad y el porcentaje escritos al final de cada barra</w:t>
      </w:r>
      <w:r>
        <w:rPr>
          <w:b w:val="0"/>
          <w:i w:val="0"/>
        </w:rPr>
        <w:t xml:space="preserve"> (Figura 2). Las razones son las siguientes:</w:t>
      </w:r>
      <w:r/>
    </w:p>
    <w:p>
      <w:pPr>
        <w:pStyle w:val="733"/>
        <w:spacing/>
        <w:ind/>
        <w:rPr/>
      </w:pPr>
      <w:r>
        <w:rPr>
          <w:b/>
        </w:rPr>
        <w:t xml:space="preserve">Ordenar</w:t>
      </w:r>
      <w:r>
        <w:rPr>
          <w:b w:val="0"/>
        </w:rPr>
        <w:t xml:space="preserve"> las barras permite leer el ranking sin buscar: la primera barra es la actividad más frecuente y la última la menos frecuente.</w:t>
      </w:r>
      <w:r/>
    </w:p>
    <w:p>
      <w:pPr>
        <w:pStyle w:val="733"/>
        <w:spacing/>
        <w:ind/>
        <w:rPr/>
      </w:pPr>
      <w:r>
        <w:rPr>
          <w:b w:val="0"/>
        </w:rPr>
        <w:t xml:space="preserve">La </w:t>
      </w:r>
      <w:r>
        <w:rPr>
          <w:b/>
        </w:rPr>
        <w:t xml:space="preserve">orientación horizontal</w:t>
      </w:r>
      <w:r>
        <w:rPr>
          <w:b w:val="0"/>
        </w:rPr>
        <w:t xml:space="preserve"> deja leer completos los nombres largos («Ver series o películas»), que en el gráfico vertical se tienen que partir en dos líneas.</w:t>
      </w:r>
      <w:r/>
    </w:p>
    <w:p>
      <w:pPr>
        <w:pStyle w:val="733"/>
        <w:spacing/>
        <w:ind/>
        <w:rPr/>
      </w:pPr>
      <w:r>
        <w:rPr>
          <w:b w:val="0"/>
        </w:rPr>
        <w:t xml:space="preserve">Escribir el </w:t>
      </w:r>
      <w:r>
        <w:rPr>
          <w:b/>
        </w:rPr>
        <w:t xml:space="preserve">valor y el porcentaje</w:t>
      </w:r>
      <w:r>
        <w:rPr>
          <w:b w:val="0"/>
        </w:rPr>
        <w:t xml:space="preserve"> evita que el público tenga que estimarlos a ojo con el eje, lo cual es importante en una presentación a directivos.</w:t>
      </w:r>
      <w:r/>
    </w:p>
    <w:p>
      <w:pPr>
        <w:pStyle w:val="733"/>
        <w:spacing/>
        <w:ind/>
        <w:rPr/>
      </w:pPr>
      <w:r>
        <w:rPr>
          <w:b w:val="0"/>
        </w:rPr>
        <w:t xml:space="preserve">Compara longitudes sobre una misma base, que el ojo juzga mejor que los ángulos de un gráfico circular. Por ejemplo, 15 % frente a 18 % se distingue bien en barras y mal en una torta.</w:t>
      </w:r>
      <w:r/>
    </w:p>
    <w:p>
      <w:pPr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00" cy="32256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1_propuesta_horizontal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60000" cy="322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3.54pt;height:253.9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spacing/>
        <w:ind/>
        <w:jc w:val="center"/>
        <w:rPr/>
      </w:pPr>
      <w:r>
        <w:rPr>
          <w:i/>
          <w:sz w:val="18"/>
        </w:rPr>
        <w:t xml:space="preserve">Figura 2. Propuesta: barras horizontales ordenadas con porcentaje.</w:t>
      </w:r>
      <w:r/>
    </w:p>
    <w:p>
      <w:pPr>
        <w:spacing/>
        <w:ind/>
        <w:jc w:val="both"/>
        <w:rPr/>
      </w:pPr>
      <w:r>
        <w:rPr>
          <w:b w:val="0"/>
          <w:i w:val="0"/>
        </w:rPr>
        <w:t xml:space="preserve">Como complemento se propone un </w:t>
      </w:r>
      <w:r>
        <w:rPr>
          <w:b/>
          <w:i w:val="0"/>
        </w:rPr>
        <w:t xml:space="preserve">diagrama de Pareto</w:t>
      </w:r>
      <w:r>
        <w:rPr>
          <w:b w:val="0"/>
          <w:i w:val="0"/>
        </w:rPr>
        <w:t xml:space="preserve"> (Figura 3). Muestra que tres actividades concentran el 68 % de las respuestas y cuatro el 83 %, lo que ayuda a la institución a decidir dónde enfocar sus progr</w:t>
      </w:r>
      <w:r>
        <w:rPr>
          <w:b w:val="0"/>
          <w:i w:val="0"/>
        </w:rPr>
        <w:t xml:space="preserve">amas de tiempo libre. El gráfico circular (Figura 4) también es válido, porque las partes suman el 100 % de la población. Sin embargo, con seis categorías de valores parecidos se comparan peor, así que se recomienda solo para mostrar la proporción general.</w:t>
      </w:r>
      <w:r/>
    </w:p>
    <w:p>
      <w:pPr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30240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1_pareto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00000" cy="30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5.20pt;height:238.1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spacing/>
        <w:ind/>
        <w:jc w:val="center"/>
        <w:rPr/>
      </w:pPr>
      <w:r>
        <w:rPr>
          <w:i/>
          <w:sz w:val="18"/>
        </w:rPr>
        <w:t xml:space="preserve">Figura 3. Diagrama de Pareto: frecuencia y porcentaje acumulado.</w:t>
      </w:r>
      <w:r/>
    </w:p>
    <w:p>
      <w:pPr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80000" cy="262080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1_circular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680000" cy="262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68.50pt;height:206.3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spacing/>
        <w:ind/>
        <w:jc w:val="center"/>
        <w:rPr/>
      </w:pPr>
      <w:r>
        <w:rPr>
          <w:i/>
          <w:sz w:val="18"/>
        </w:rPr>
        <w:t xml:space="preserve">Figura 4. Gráfico circular (dona) de la proporción de cada actividad.</w:t>
      </w:r>
      <w:r/>
    </w:p>
    <w:p>
      <w:pPr>
        <w:pStyle w:val="703"/>
        <w:spacing/>
        <w:ind/>
        <w:rPr/>
      </w:pPr>
      <w:r>
        <w:t xml:space="preserve">4. Reto de pensamiento crítico</w:t>
      </w:r>
      <w:r/>
    </w:p>
    <w:p>
      <w:pPr>
        <w:spacing/>
        <w:ind/>
        <w:jc w:val="both"/>
        <w:rPr/>
      </w:pPr>
      <w:r>
        <w:rPr>
          <w:b/>
          <w:i w:val="0"/>
        </w:rPr>
        <w:t xml:space="preserve">Afirmación:</w:t>
      </w:r>
      <w:r>
        <w:rPr>
          <w:b w:val="0"/>
          <w:i w:val="0"/>
        </w:rPr>
        <w:t xml:space="preserve"> «El gráfico muestra que ver series o películas es la actividad más popular. ¿Podemos concluir que los estudiantes prefieren pasar todo su tiempo libre frente a una pantalla?»</w:t>
      </w:r>
      <w:r/>
    </w:p>
    <w:p>
      <w:pPr>
        <w:spacing/>
        <w:ind/>
        <w:jc w:val="both"/>
        <w:rPr/>
      </w:pPr>
      <w:r>
        <w:rPr>
          <w:b/>
          <w:i w:val="0"/>
        </w:rPr>
        <w:t xml:space="preserve">Posición: no estamos de acuerdo.</w:t>
      </w:r>
      <w:r>
        <w:rPr>
          <w:b w:val="0"/>
          <w:i w:val="0"/>
        </w:rPr>
        <w:t xml:space="preserve"> Los datos no permiten esa conclusión, por cuatro razones que se apoyan solo en la información disponible:</w:t>
      </w:r>
      <w:r/>
    </w:p>
    <w:p>
      <w:pPr>
        <w:pStyle w:val="733"/>
        <w:spacing/>
        <w:ind/>
        <w:rPr/>
      </w:pPr>
      <w:r>
        <w:rPr>
          <w:b/>
        </w:rPr>
        <w:t xml:space="preserve">Es la más popular, pero no es la mayoría.</w:t>
      </w:r>
      <w:r>
        <w:rPr>
          <w:b w:val="0"/>
        </w:rPr>
        <w:t xml:space="preserve"> Ver series o películas tiene 28 estudiantes: el </w:t>
      </w:r>
      <w:r>
        <w:rPr>
          <w:b/>
        </w:rPr>
        <w:t xml:space="preserve">72 %</w:t>
      </w:r>
      <w:r>
        <w:rPr>
          <w:b w:val="0"/>
        </w:rPr>
        <w:t xml:space="preserve"> eligió otra actividad.</w:t>
      </w:r>
      <w:r/>
    </w:p>
    <w:p>
      <w:pPr>
        <w:pStyle w:val="733"/>
        <w:spacing/>
        <w:ind/>
        <w:rPr/>
      </w:pPr>
      <w:r>
        <w:rPr>
          <w:b/>
        </w:rPr>
        <w:t xml:space="preserve">Ni sumando las actividades de pantalla se llega a la mitad.</w:t>
      </w:r>
      <w:r>
        <w:rPr>
          <w:b w:val="0"/>
        </w:rPr>
        <w:t xml:space="preserve"> Las únicas categorías que claramente usan pantalla son ver series (28) y jugar videojuegos (15), que suman </w:t>
      </w:r>
      <w:r>
        <w:rPr>
          <w:b/>
        </w:rPr>
        <w:t xml:space="preserve">43 estudiantes (43 %)</w:t>
      </w:r>
      <w:r>
        <w:rPr>
          <w:b w:val="0"/>
        </w:rPr>
        <w:t xml:space="preserve">. Las que claramente no la usan, practicar deporte (18) y leer (10), suman </w:t>
      </w:r>
      <w:r>
        <w:rPr>
          <w:b/>
        </w:rPr>
        <w:t xml:space="preserve">28 %</w:t>
      </w:r>
      <w:r>
        <w:rPr>
          <w:b w:val="0"/>
        </w:rPr>
        <w:t xml:space="preserve">. Escuchar música (22 %) y otras actividades (7 %) no se pueden clasificar con estos datos.</w:t>
      </w:r>
      <w:r/>
    </w:p>
    <w:p>
      <w:pPr>
        <w:pStyle w:val="733"/>
        <w:spacing/>
        <w:ind/>
        <w:rPr/>
      </w:pPr>
      <w:r>
        <w:rPr>
          <w:b/>
        </w:rPr>
        <w:t xml:space="preserve">La encuesta mide una preferencia, no el tiempo.</w:t>
      </w:r>
      <w:r>
        <w:rPr>
          <w:b w:val="0"/>
        </w:rPr>
        <w:t xml:space="preserve"> Registra qué actividad eligió cada estudiante, no cuántas horas le dedica. Por eso no se puede hablar de «todo su tiempo libre»: un estudiante que eligió series puede también hacer deporte o leer.</w:t>
      </w:r>
      <w:r/>
    </w:p>
    <w:p>
      <w:pPr>
        <w:pStyle w:val="733"/>
        <w:spacing/>
        <w:ind/>
        <w:rPr/>
      </w:pPr>
      <w:r>
        <w:rPr>
          <w:b/>
        </w:rPr>
        <w:t xml:space="preserve">Se generaliza de 100 estudiantes a «los estudiantes».</w:t>
      </w:r>
      <w:r>
        <w:rPr>
          <w:b w:val="0"/>
        </w:rPr>
        <w:t xml:space="preserve"> No sabemos si la muestra representa a toda la institución.</w:t>
      </w:r>
      <w:r/>
    </w:p>
    <w:p>
      <w:pPr>
        <w:spacing/>
        <w:ind/>
        <w:jc w:val="both"/>
        <w:rPr/>
      </w:pPr>
      <w:r>
        <w:rPr>
          <w:b w:val="0"/>
          <w:i w:val="0"/>
        </w:rPr>
        <w:t xml:space="preserve">Lo que sí se puede afirmar es que </w:t>
      </w:r>
      <w:r>
        <w:rPr>
          <w:b/>
          <w:i w:val="0"/>
        </w:rPr>
        <w:t xml:space="preserve">ver series o películas es la preferencia individual más común (28 %)</w:t>
      </w:r>
      <w:r>
        <w:rPr>
          <w:b w:val="0"/>
          <w:i w:val="0"/>
        </w:rPr>
        <w:t xml:space="preserve">, y que las actividades claramente asociadas a pantallas son una parte importante (43 %) pero no mayoritaria de las preferencias.</w:t>
      </w:r>
      <w:r/>
    </w:p>
    <w:p>
      <w:pPr>
        <w:pStyle w:val="703"/>
        <w:spacing/>
        <w:ind/>
        <w:rPr/>
      </w:pPr>
      <w:r>
        <w:t xml:space="preserve">5. Producto final: conclusión</w:t>
      </w:r>
      <w:r/>
    </w:p>
    <w:p>
      <w:pPr>
        <w:spacing/>
        <w:ind/>
        <w:jc w:val="both"/>
        <w:rPr/>
      </w:pPr>
      <w:r>
        <w:rPr>
          <w:b w:val="0"/>
          <w:i w:val="0"/>
        </w:rPr>
        <w:t xml:space="preserve">La encuesta aplicada a 100 estudiantes muestra que </w:t>
      </w:r>
      <w:r>
        <w:rPr>
          <w:b/>
          <w:i w:val="0"/>
        </w:rPr>
        <w:t xml:space="preserve">el dato más alto corresponde a «Ver series o películas», elegida por 28 estudiantes (28 %)</w:t>
      </w:r>
      <w:r>
        <w:rPr>
          <w:b w:val="0"/>
          <w:i w:val="0"/>
        </w:rPr>
        <w:t xml:space="preserve">. Es la actividad favorita del grupo, aunque no tiene la mayoría: casi tres de cada cuatro estudiantes prefieren otra cosa. Le sigue escuchar música con 22 estudiantes, de modo que entre las dos actividades reúnen exactamente a la mitad de los encuestados.</w:t>
      </w:r>
      <w:r/>
    </w:p>
    <w:p>
      <w:pPr>
        <w:spacing/>
        <w:ind/>
        <w:jc w:val="both"/>
        <w:rPr/>
      </w:pPr>
      <w:r>
        <w:rPr>
          <w:b w:val="0"/>
          <w:i w:val="0"/>
        </w:rPr>
        <w:t xml:space="preserve">Al comparar categorías, </w:t>
      </w:r>
      <w:r>
        <w:rPr>
          <w:b/>
          <w:i w:val="0"/>
        </w:rPr>
        <w:t xml:space="preserve">escuchar música (22 estudiantes) supera a leer (10 estudiantes) por 12 estudiantes, es decir, 2,2 veces</w:t>
      </w:r>
      <w:r>
        <w:rPr>
          <w:b w:val="0"/>
          <w:i w:val="0"/>
        </w:rPr>
        <w:t xml:space="preserve">. Del mismo modo, practicar deporte (18) supera a jugar videojuegos (15) por 3 estudiantes, lo que muestra que la actividad física sigue siendo más elegida que los videojuegos.</w:t>
      </w:r>
      <w:r/>
    </w:p>
    <w:p>
      <w:pPr>
        <w:spacing/>
        <w:ind/>
        <w:jc w:val="both"/>
        <w:rPr/>
      </w:pPr>
      <w:r>
        <w:rPr>
          <w:b/>
          <w:i w:val="0"/>
        </w:rPr>
        <w:t xml:space="preserve">El patrón identificado es una concentración de las preferencias en pocas actividades</w:t>
      </w:r>
      <w:r>
        <w:rPr>
          <w:b w:val="0"/>
          <w:i w:val="0"/>
        </w:rPr>
        <w:t xml:space="preserve">. Al ordenarlas de mayor a menor, la cantidad baja</w:t>
      </w:r>
      <w:r>
        <w:rPr>
          <w:b w:val="0"/>
          <w:i w:val="0"/>
        </w:rPr>
        <w:t xml:space="preserve"> de forma escalonada (28, 22, 18, 15, 10 y 7), y las tres primeras acumulan el 68 % de las respuestas. También predominan las actividades de entretenimiento audiovisual y musical sobre la lectura, que es la actividad con nombre propio menos elegida (10 %).</w:t>
      </w:r>
      <w:r/>
    </w:p>
    <w:p>
      <w:pPr>
        <w:spacing/>
        <w:ind/>
        <w:jc w:val="both"/>
        <w:rPr/>
      </w:pPr>
      <w:r>
        <w:rPr>
          <w:b/>
          <w:i w:val="0"/>
        </w:rPr>
        <w:t xml:space="preserve">En conclusión, sustentada en los datos, los estudiantes prefieren principalmente actividades de entretenimiento (series y música, 50 %), pero sus preferencias son diversas</w:t>
      </w:r>
      <w:r>
        <w:rPr>
          <w:b w:val="0"/>
          <w:i w:val="0"/>
        </w:rPr>
        <w:t xml:space="preserve">: ninguna actividad supera el 28 % y el deporte reúne casi a uno de cada cinco. Para la institución, la baja preferencia por la lectura (10 %)</w:t>
      </w:r>
      <w:r>
        <w:rPr>
          <w:b w:val="0"/>
          <w:i w:val="0"/>
        </w:rPr>
        <w:t xml:space="preserve"> es la principal oportunidad de intervención, y el interés por el deporte (18 %) es una fortaleza que se puede aprovechar. Para conocer cuánto tiempo dedican a cada actividad haría falta una nueva encuesta que pregunte horas y permita más de una respuesta.</w:t>
      </w:r>
      <w:r/>
    </w:p>
    <w:p>
      <w:pPr>
        <w:pStyle w:val="703"/>
        <w:spacing/>
        <w:ind/>
        <w:rPr/>
      </w:pPr>
      <w:r>
        <w:t xml:space="preserve">6. Referencias</w:t>
      </w:r>
      <w:r/>
    </w:p>
    <w:p>
      <w:pPr>
        <w:spacing/>
        <w:ind/>
        <w:jc w:val="both"/>
        <w:rPr/>
      </w:pPr>
      <w:r>
        <w:rPr>
          <w:b w:val="0"/>
          <w:i w:val="0"/>
        </w:rPr>
        <w:t xml:space="preserve">Escobar Mercado, M., Fernández Macías, E. y Bernardi, F. (2021). Análisis de datos con Stata (3.ª ed.). CIS — Centro de Investigaciones Sociológicas.</w:t>
      </w:r>
      <w:r/>
    </w:p>
    <w:p>
      <w:pPr>
        <w:spacing/>
        <w:ind/>
        <w:jc w:val="both"/>
        <w:rPr/>
      </w:pPr>
      <w:r>
        <w:rPr>
          <w:b w:val="0"/>
          <w:i w:val="0"/>
        </w:rPr>
        <w:t xml:space="preserve">Universidad — Guía de laboratorio N.º 9: Business Analytics e Inteligencia Artificial (2026).</w:t>
      </w:r>
      <w:r/>
    </w:p>
    <w:p>
      <w:pPr>
        <w:spacing/>
        <w:ind/>
        <w:jc w:val="both"/>
        <w:rPr/>
      </w:pPr>
      <w:r>
        <w:rPr>
          <w:b w:val="0"/>
          <w:i w:val="0"/>
        </w:rPr>
        <w:t xml:space="preserve">Repositorio del proyecto (gráficas, datos y software de la FASE 2): https://github.com/Nicolas0pm/guia9-visualizacion-datos</w:t>
      </w:r>
      <w:r/>
    </w:p>
    <w:p>
      <w:pPr>
        <w:pStyle w:val="703"/>
      </w:pPr>
      <w:r>
        <w:t>7. Repositorio y descarga del software</w:t>
      </w:r>
    </w:p>
    <w:p>
      <w:pPr>
        <w:jc w:val="both"/>
      </w:pPr>
      <w:r>
        <w:t>El código fuente, la documentación, los diagramas y la aplicación portable de la FASE 2 están publicados en GitHub:</w:t>
      </w:r>
    </w:p>
    <w:p>
      <w:pPr>
        <w:pStyle w:val="733"/>
      </w:pPr>
      <w:r>
        <w:rPr>
          <w:b/>
        </w:rPr>
        <w:t xml:space="preserve">Repositorio: </w:t>
      </w:r>
      <w:hyperlink r:id="rId15">
        <w:r>
          <w:rPr>
            <w:color w:val="0563C1"/>
            <w:u w:val="single"/>
          </w:rPr>
          <w:t xml:space="preserve">https://github.com/Nicolas0pm/guia9-visualizacion-datos</w:t>
        </w:r>
      </w:hyperlink>
    </w:p>
    <w:p>
      <w:pPr>
        <w:pStyle w:val="733"/>
      </w:pPr>
      <w:r>
        <w:rPr>
          <w:b/>
        </w:rPr>
        <w:t xml:space="preserve">Descargar la aplicación (ZIP, recomendado): </w:t>
      </w:r>
      <w:hyperlink r:id="rId16">
        <w:r>
          <w:rPr>
            <w:color w:val="0563C1"/>
            <w:u w:val="single"/>
          </w:rPr>
          <w:t xml:space="preserve">https://github.com/Nicolas0pm/guia9-visualizacion-datos/raw/main/VisualizadorEncuestas.zip</w:t>
        </w:r>
      </w:hyperlink>
    </w:p>
    <w:p>
      <w:pPr>
        <w:pStyle w:val="733"/>
      </w:pPr>
      <w:r>
        <w:rPr>
          <w:b/>
        </w:rPr>
        <w:t xml:space="preserve">Descargar solo el ejecutable (.exe): </w:t>
      </w:r>
      <w:hyperlink r:id="rId17">
        <w:r>
          <w:rPr>
            <w:color w:val="0563C1"/>
            <w:u w:val="single"/>
          </w:rPr>
          <w:t xml:space="preserve">https://github.com/Nicolas0pm/guia9-visualizacion-datos/raw/main/VisualizadorEncuestas.exe</w:t>
        </w:r>
      </w:hyperlink>
    </w:p>
    <w:p>
      <w:pPr>
        <w:pStyle w:val="733"/>
      </w:pPr>
      <w:r>
        <w:rPr>
          <w:b/>
        </w:rPr>
        <w:t xml:space="preserve">Versión publicada (Releases): </w:t>
      </w:r>
      <w:hyperlink r:id="rId18">
        <w:r>
          <w:rPr>
            <w:color w:val="0563C1"/>
            <w:u w:val="single"/>
          </w:rPr>
          <w:t xml:space="preserve">https://github.com/Nicolas0pm/guia9-visualizacion-datos/releases/tag/v1.0</w:t>
        </w:r>
      </w:hyperlink>
    </w:p>
    <w:p>
      <w:pPr>
        <w:jc w:val="both"/>
      </w:pPr>
      <w:r>
        <w:rPr>
          <w:b/>
        </w:rPr>
        <w:t xml:space="preserve">Para usarla: </w:t>
      </w:r>
      <w:r>
        <w:t>descargue el ZIP, descomprímalo (clic derecho → «Extraer todo…») y abra VisualizadorEncuestas.exe. No requiere instalación, ni Python, ni internet. Si Windows SmartScreen muestra una advertencia porque el programa no está firmado, elija «Más información» → «Ejecutar de todas formas».</w:t>
      </w:r>
    </w:p>
    <w:sectPr>
      <w:footerReference w:type="default" r:id="rId9"/>
      <w:footnotePr/>
      <w:endnotePr/>
      <w:type w:val="nextPage"/>
      <w:pgSz w:h="15840" w:orient="portrait" w:w="12240"/>
      <w:pgMar w:top="1417" w:right="1417" w:bottom="1417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spacing/>
      <w:ind/>
      <w:jc w:val="center"/>
      <w:rPr/>
    </w:pPr>
    <w:r>
      <w:fldChar w:fldCharType="begin"/>
      <w:instrText xml:space="preserve">PAGE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 w:after="120" w:line="276" w:lineRule="auto"/>
      <w:ind/>
    </w:pPr>
    <w:rPr>
      <w:rFonts w:ascii="Arial" w:hAnsi="Arial" w:eastAsia="Arial"/>
      <w:sz w:val="22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pBdr/>
      <w:spacing w:after="120" w:before="280"/>
      <w:ind/>
      <w:outlineLvl w:val="0"/>
    </w:pPr>
    <w:rPr>
      <w:rFonts w:ascii="Arial" w:hAnsi="Arial" w:eastAsia="Arial"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120" w:before="200"/>
      <w:ind/>
      <w:outlineLvl w:val="1"/>
    </w:pPr>
    <w:rPr>
      <w:rFonts w:ascii="Arial" w:hAnsi="Arial" w:eastAsia="Arial" w:asciiTheme="majorHAnsi" w:hAnsiTheme="majorHAnsi" w:eastAsiaTheme="majorEastAsia" w:cstheme="majorBidi"/>
      <w:b/>
      <w:bCs/>
      <w:color w:val="1f4e79"/>
      <w:sz w:val="25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120" w:before="200"/>
      <w:ind/>
      <w:outlineLvl w:val="2"/>
    </w:pPr>
    <w:rPr>
      <w:rFonts w:ascii="Arial" w:hAnsi="Arial" w:eastAsia="Arial" w:asciiTheme="majorHAnsi" w:hAnsiTheme="majorHAnsi" w:eastAsiaTheme="majorEastAsia" w:cstheme="majorBidi"/>
      <w:b/>
      <w:bCs/>
      <w:color w:val="1f4e79"/>
      <w:sz w:val="23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customXml" Target="../customXml/item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github.com/Nicolas0pm/guia9-visualizacion-datos" TargetMode="External"/><Relationship Id="rId16" Type="http://schemas.openxmlformats.org/officeDocument/2006/relationships/hyperlink" Target="https://github.com/Nicolas0pm/guia9-visualizacion-datos/raw/main/VisualizadorEncuestas.zip" TargetMode="External"/><Relationship Id="rId17" Type="http://schemas.openxmlformats.org/officeDocument/2006/relationships/hyperlink" Target="https://github.com/Nicolas0pm/guia9-visualizacion-datos/raw/main/VisualizadorEncuestas.exe" TargetMode="External"/><Relationship Id="rId18" Type="http://schemas.openxmlformats.org/officeDocument/2006/relationships/hyperlink" Target="https://github.com/Nicolas0pm/guia9-visualizacion-datos/releases/tag/v1.0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2026-10-25T02:13:27Z</dcterms:modified>
  <cp:category/>
</cp:coreProperties>
</file>