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A394" w14:textId="0632895D" w:rsidR="00577BF8" w:rsidRPr="00CC2D0E" w:rsidRDefault="0027182B">
      <w:pPr>
        <w:rPr>
          <w:rFonts w:ascii="Times New Roman" w:hAnsi="Times New Roman" w:cs="Times New Roman"/>
        </w:rPr>
      </w:pPr>
      <w:r w:rsidRPr="00CC2D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BE2C52A" wp14:editId="5BCC5D2C">
            <wp:simplePos x="0" y="0"/>
            <wp:positionH relativeFrom="column">
              <wp:posOffset>4471035</wp:posOffset>
            </wp:positionH>
            <wp:positionV relativeFrom="paragraph">
              <wp:posOffset>-210185</wp:posOffset>
            </wp:positionV>
            <wp:extent cx="2371090" cy="485775"/>
            <wp:effectExtent l="0" t="0" r="0" b="9525"/>
            <wp:wrapNone/>
            <wp:docPr id="4" name="Graphic 1">
              <a:extLst xmlns:a="http://schemas.openxmlformats.org/drawingml/2006/main">
                <a:ext uri="{FF2B5EF4-FFF2-40B4-BE49-F238E27FC236}">
                  <a16:creationId xmlns:a16="http://schemas.microsoft.com/office/drawing/2014/main" id="{D4E2A8A5-7B9A-9FCE-2C0C-40115BB725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>
                      <a:extLst>
                        <a:ext uri="{FF2B5EF4-FFF2-40B4-BE49-F238E27FC236}">
                          <a16:creationId xmlns:a16="http://schemas.microsoft.com/office/drawing/2014/main" id="{D4E2A8A5-7B9A-9FCE-2C0C-40115BB725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0E" w:rsidRPr="00CC2D0E">
        <w:rPr>
          <w:rFonts w:ascii="Times New Roman" w:hAnsi="Times New Roman" w:cs="Times New Roman"/>
        </w:rPr>
        <w:tab/>
      </w:r>
    </w:p>
    <w:p w14:paraId="2711189D" w14:textId="1561B0FD" w:rsidR="00C310CA" w:rsidRPr="00F230F9" w:rsidRDefault="0027182B" w:rsidP="00F230F9">
      <w:pPr>
        <w:rPr>
          <w:rFonts w:ascii="Times New Roman" w:hAnsi="Times New Roman" w:cs="Times New Roman"/>
          <w:b/>
          <w:bCs/>
        </w:rPr>
      </w:pPr>
      <w:r w:rsidRPr="0027182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3066D0" wp14:editId="2F90ACC1">
                <wp:simplePos x="0" y="0"/>
                <wp:positionH relativeFrom="margin">
                  <wp:posOffset>4411134</wp:posOffset>
                </wp:positionH>
                <wp:positionV relativeFrom="paragraph">
                  <wp:posOffset>198966</wp:posOffset>
                </wp:positionV>
                <wp:extent cx="2480310" cy="82931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82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8BE6" w14:textId="60A9C867" w:rsid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WiSe 2023/24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C77325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 w:rsidR="00C77325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.2023</w:t>
                            </w:r>
                          </w:p>
                          <w:p w14:paraId="1FA2C26C" w14:textId="7B40A3F3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Linus Langenkamp, Jolan Eggers, </w:t>
                            </w:r>
                          </w:p>
                          <w:p w14:paraId="420978CF" w14:textId="26A2D6C8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Nicolas Schneider, Redouane Kabouchi </w:t>
                            </w:r>
                          </w:p>
                          <w:p w14:paraId="4C339B66" w14:textId="1431FFAA" w:rsidR="0027182B" w:rsidRDefault="002718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066D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7.35pt;margin-top:15.65pt;width:195.3pt;height:6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" filled="f" stroked="f">
                <v:textbox>
                  <w:txbxContent>
                    <w:p w14:paraId="79DE8BE6" w14:textId="60A9C867" w:rsid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WiSe 2023/24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C77325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.1</w:t>
                      </w:r>
                      <w:r w:rsidR="00C77325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.2023</w:t>
                      </w:r>
                    </w:p>
                    <w:p w14:paraId="1FA2C26C" w14:textId="7B40A3F3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Linus Langenkamp, Jolan Eggers, </w:t>
                      </w:r>
                    </w:p>
                    <w:p w14:paraId="420978CF" w14:textId="26A2D6C8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Nicolas Schneider, Redouane Kabouchi </w:t>
                      </w:r>
                    </w:p>
                    <w:p w14:paraId="4C339B66" w14:textId="1431FFAA" w:rsidR="0027182B" w:rsidRDefault="0027182B"/>
                  </w:txbxContent>
                </v:textbox>
                <w10:wrap type="square" anchorx="margin"/>
              </v:shape>
            </w:pict>
          </mc:Fallback>
        </mc:AlternateContent>
      </w:r>
      <w:r w:rsidR="00F230F9">
        <w:rPr>
          <w:rFonts w:ascii="Times New Roman" w:hAnsi="Times New Roman" w:cs="Times New Roman"/>
          <w:b/>
          <w:bCs/>
          <w:sz w:val="28"/>
          <w:szCs w:val="28"/>
        </w:rPr>
        <w:t>Markov Analyse - Allgemeines</w:t>
      </w:r>
    </w:p>
    <w:p w14:paraId="617A124F" w14:textId="57EB0D7F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Benannt nach dem Mathematiker Andrei Markow (1856-1922).</w:t>
      </w:r>
    </w:p>
    <w:p w14:paraId="231D52E4" w14:textId="775597D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Anwendung im Risikomanagement.</w:t>
      </w:r>
    </w:p>
    <w:p w14:paraId="3701C7C6" w14:textId="2C7048A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Markov-Prozess als Grundlage für Verlässlichkeitsprüfung</w:t>
      </w:r>
    </w:p>
    <w:p w14:paraId="5A59D3B1" w14:textId="07311BAD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Modellierung in Form einer Markov-Kette</w:t>
      </w:r>
    </w:p>
    <w:p w14:paraId="106431C8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Beschreibung der zeitlichen Entwicklung von Objekten oder Systemen</w:t>
      </w:r>
    </w:p>
    <w:p w14:paraId="41EF1C6B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</w:p>
    <w:p w14:paraId="1A0D4309" w14:textId="17890B51" w:rsid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Markov Analyse - </w:t>
      </w:r>
      <w:r>
        <w:rPr>
          <w:rFonts w:ascii="Times New Roman" w:hAnsi="Times New Roman" w:cs="Times New Roman"/>
          <w:b/>
          <w:bCs/>
          <w:sz w:val="28"/>
          <w:szCs w:val="28"/>
        </w:rPr>
        <w:t>Aufbau</w:t>
      </w:r>
    </w:p>
    <w:p w14:paraId="7D12F821" w14:textId="77777777" w:rsidR="00F230F9" w:rsidRP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Zustandsraum: Endliche Menge möglicher Zustände</w:t>
      </w:r>
    </w:p>
    <w:p w14:paraId="5BC602FF" w14:textId="77777777" w:rsidR="00F230F9" w:rsidRP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Anfangsverteilung: Wahrscheinlichkeiten zu Beginn in bestimmten Zuständen</w:t>
      </w:r>
    </w:p>
    <w:p w14:paraId="5DADCD99" w14:textId="351DAEE9" w:rsid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Übergangsmatrix: Matrix mit Übergangswahrscheinlichkeiten zwischen Zuständen</w:t>
      </w:r>
    </w:p>
    <w:p w14:paraId="2F39729C" w14:textId="013F2671" w:rsidR="00F230F9" w:rsidRPr="00F230F9" w:rsidRDefault="00F230F9" w:rsidP="00F230F9">
      <w:pPr>
        <w:pStyle w:val="KeinLeerraum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26416" wp14:editId="5A25C9A3">
                <wp:simplePos x="0" y="0"/>
                <wp:positionH relativeFrom="column">
                  <wp:posOffset>2444115</wp:posOffset>
                </wp:positionH>
                <wp:positionV relativeFrom="paragraph">
                  <wp:posOffset>505841</wp:posOffset>
                </wp:positionV>
                <wp:extent cx="475488" cy="371856"/>
                <wp:effectExtent l="0" t="19050" r="39370" b="47625"/>
                <wp:wrapNone/>
                <wp:docPr id="346422399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3718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3F0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192.45pt;margin-top:39.85pt;width:37.45pt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" adj="13154" fillcolor="black [3213]" strokecolor="black [3213]" strokeweight="1pt"/>
            </w:pict>
          </mc:Fallback>
        </mc:AlternateContent>
      </w:r>
      <w:r w:rsidRPr="00F230F9">
        <w:rPr>
          <w:rFonts w:ascii="Times New Roman" w:hAnsi="Times New Roman" w:cs="Times New Roman"/>
        </w:rPr>
        <w:drawing>
          <wp:inline distT="0" distB="0" distL="0" distR="0" wp14:anchorId="0CB8B5BC" wp14:editId="04E06C1D">
            <wp:extent cx="1920240" cy="1418514"/>
            <wp:effectExtent l="0" t="0" r="3810" b="0"/>
            <wp:docPr id="22" name="Picture 2" descr="chart">
              <a:extLst xmlns:a="http://schemas.openxmlformats.org/drawingml/2006/main">
                <a:ext uri="{FF2B5EF4-FFF2-40B4-BE49-F238E27FC236}">
                  <a16:creationId xmlns:a16="http://schemas.microsoft.com/office/drawing/2014/main" id="{8C0A8098-D33A-D790-3229-2B26A2D8FA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 descr="chart">
                      <a:extLst>
                        <a:ext uri="{FF2B5EF4-FFF2-40B4-BE49-F238E27FC236}">
                          <a16:creationId xmlns:a16="http://schemas.microsoft.com/office/drawing/2014/main" id="{8C0A8098-D33A-D790-3229-2B26A2D8FA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32" cy="142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30F9">
        <w:rPr>
          <w:rFonts w:ascii="Times New Roman" w:hAnsi="Times New Roman" w:cs="Times New Roman"/>
        </w:rPr>
        <w:drawing>
          <wp:inline distT="0" distB="0" distL="0" distR="0" wp14:anchorId="210479D8" wp14:editId="43C30DD7">
            <wp:extent cx="1807915" cy="1371600"/>
            <wp:effectExtent l="0" t="0" r="1905" b="0"/>
            <wp:docPr id="5" name="Grafik 4" descr="Ein Bild, das Text, Schrift, Screenshot, Zahl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73976280-5E85-14D8-29D3-02375A986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Text, Schrift, Screenshot, Zahl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73976280-5E85-14D8-29D3-02375A986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717" cy="13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202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</w:p>
    <w:p w14:paraId="6ED688A4" w14:textId="514A5CAC" w:rsid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Markov Analyse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Stärken und Grenzen</w:t>
      </w:r>
    </w:p>
    <w:p w14:paraId="3EE72412" w14:textId="7F8F403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Vollumfassende Betrachtung des Systems durch Zerlegung in kleinste Komponenten.</w:t>
      </w:r>
    </w:p>
    <w:p w14:paraId="445FA626" w14:textId="42CCC1FE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ISO-Regelwerke beschreiben FMEA.</w:t>
      </w:r>
    </w:p>
    <w:p w14:paraId="12217922" w14:textId="253F6FB9" w:rsid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Klare Formalisierung mithilfe von "Worksheets."</w:t>
      </w:r>
    </w:p>
    <w:p w14:paraId="23D202CA" w14:textId="7FC05FA0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Mathematische Herausforderungen bei der Multiplikation ordinal skalierter Merkmale.</w:t>
      </w:r>
    </w:p>
    <w:p w14:paraId="4AC1C9DC" w14:textId="15E8FD0D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Begrenzte Bewertungsmöglichkeiten für bestimmte Risiken.</w:t>
      </w:r>
    </w:p>
    <w:p w14:paraId="0769EBE5" w14:textId="18EA24DC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Zeit- und Ressourcenverbrauch.</w:t>
      </w:r>
    </w:p>
    <w:p w14:paraId="058B640C" w14:textId="0F1CE89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Großer Datenbedarf und Systemkenntnisse erforderlich.</w:t>
      </w:r>
    </w:p>
    <w:p w14:paraId="13CA7FD3" w14:textId="70336BED" w:rsidR="00F230F9" w:rsidRPr="00F230F9" w:rsidRDefault="00F230F9" w:rsidP="00F230F9">
      <w:pPr>
        <w:pStyle w:val="KeinLeerraum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Interdependenzen können in der ursprünglichen FMEA nicht analysiert werden.</w:t>
      </w:r>
    </w:p>
    <w:p w14:paraId="3DB8B3AC" w14:textId="761288C7" w:rsidR="00A71CE0" w:rsidRP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Markov Analyse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Kontinuierlich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Markov Analyse - Rheinmetall</w:t>
      </w:r>
    </w:p>
    <w:p w14:paraId="11498928" w14:textId="1FB2B978" w:rsidR="00F230F9" w:rsidRDefault="00A71CE0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CE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6C67E4C" wp14:editId="422D3AE1">
            <wp:extent cx="3182679" cy="1268997"/>
            <wp:effectExtent l="0" t="0" r="0" b="7620"/>
            <wp:docPr id="1309232974" name="Grafik 1" descr="Ein Bild, das Text, Schrift, Quittung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32974" name="Grafik 1" descr="Ein Bild, das Text, Schrift, Quittung, Hand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032" cy="128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F9" w:rsidRPr="00C7732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81E1F9" wp14:editId="5FCF9DDE">
            <wp:extent cx="3182305" cy="1424762"/>
            <wp:effectExtent l="0" t="0" r="0" b="4445"/>
            <wp:docPr id="11" name="Grafik 10" descr="Ein Bild, das Diagramm, Reihe,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F0C49266-73A7-D922-78ED-C8347C7086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 descr="Ein Bild, das Diagramm, Reihe,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F0C49266-73A7-D922-78ED-C8347C7086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7477" r="9132" b="4109"/>
                    <a:stretch/>
                  </pic:blipFill>
                  <pic:spPr bwMode="auto">
                    <a:xfrm>
                      <a:off x="0" y="0"/>
                      <a:ext cx="3198148" cy="14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59E75" w14:textId="1FA062DC" w:rsidR="003C692E" w:rsidRDefault="00F230F9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Interview im Risikomanagement</w:t>
      </w:r>
    </w:p>
    <w:p w14:paraId="6DF2363A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Expertenbefragungen ergänzen häufig andere Methoden wie analytische oder kreative Ansätze.</w:t>
      </w:r>
    </w:p>
    <w:p w14:paraId="001749F5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 xml:space="preserve">Wichtig hier: Berücksichtigung verschiedener Perspektiven für umfassendes Verständnis, mithilfe Interviews </w:t>
      </w:r>
      <w:r w:rsidRPr="00F230F9">
        <w:rPr>
          <w:rFonts w:ascii="Cambria Math" w:hAnsi="Cambria Math" w:cs="Cambria Math"/>
        </w:rPr>
        <w:t>⇒</w:t>
      </w:r>
      <w:r w:rsidRPr="00F230F9">
        <w:rPr>
          <w:rFonts w:ascii="Times New Roman" w:hAnsi="Times New Roman" w:cs="Times New Roman"/>
        </w:rPr>
        <w:t xml:space="preserve"> neuen Einsichten und Blickwinkeln, nicht allein durch analytische oder kreative Ansätze erfassbar</w:t>
      </w:r>
    </w:p>
    <w:p w14:paraId="187CEB49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Expertenbefragungen dienen als wichtige Informationsquelle und liefern Denkanstöße für bisher nicht betrachtete Risiken.</w:t>
      </w:r>
    </w:p>
    <w:p w14:paraId="0B5B1A9A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 xml:space="preserve">Die Einbeziehung verschiedener Experten </w:t>
      </w:r>
      <w:r w:rsidRPr="00F230F9">
        <w:rPr>
          <w:rFonts w:ascii="Cambria Math" w:hAnsi="Cambria Math" w:cs="Cambria Math"/>
        </w:rPr>
        <w:t>⇒</w:t>
      </w:r>
      <w:r w:rsidRPr="00F230F9">
        <w:rPr>
          <w:rFonts w:ascii="Times New Roman" w:hAnsi="Times New Roman" w:cs="Times New Roman"/>
        </w:rPr>
        <w:t>blinde Flecken zu erkennen und umfassendere Risikobewertungen zu ermöglichen.</w:t>
      </w:r>
    </w:p>
    <w:p w14:paraId="4118473A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Bei Kollektionsmethoden ist es ratsam, verschiedene Fachexperten intern und extern zu interviewen, um breite Erkenntnisse zu erhalten.</w:t>
      </w:r>
    </w:p>
    <w:p w14:paraId="5B715614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z.B., Ingenieure, Betriebswirte, Juristen...</w:t>
      </w:r>
    </w:p>
    <w:p w14:paraId="26001502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 xml:space="preserve">In der Praxis gibt es verschiedene Interviewtechniken: </w:t>
      </w:r>
    </w:p>
    <w:p w14:paraId="6C32BC19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Strukturierte Interviews: Definieren Fragenbereiche und potenzielle Fragen.</w:t>
      </w:r>
    </w:p>
    <w:p w14:paraId="71670B22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lastRenderedPageBreak/>
        <w:t>Standardisierte Interviews: weiter in der Formalisierung: Konkrete Fragen, ihre Abfolge und die Bewertung der Antworten vorgeben.</w:t>
      </w:r>
    </w:p>
    <w:p w14:paraId="19230187" w14:textId="77777777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 xml:space="preserve">Die Standardisierung </w:t>
      </w:r>
      <w:r w:rsidRPr="00F230F9">
        <w:rPr>
          <w:rFonts w:ascii="Cambria Math" w:hAnsi="Cambria Math" w:cs="Cambria Math"/>
        </w:rPr>
        <w:t>⇒</w:t>
      </w:r>
      <w:r w:rsidRPr="00F230F9">
        <w:rPr>
          <w:rFonts w:ascii="Times New Roman" w:hAnsi="Times New Roman" w:cs="Times New Roman"/>
        </w:rPr>
        <w:t xml:space="preserve"> den Interviewer-Bias zu reduzieren zur Minimierung bewussten oder unbewussten Beeinflussung (vgl. Kahneman 2011; Romeike 2013a, 2013b).</w:t>
      </w:r>
    </w:p>
    <w:p w14:paraId="6E043251" w14:textId="6EFE5A5A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Interviews: Effektive und zeitsparende Methode zur Erkennung potenzieller Risiken und eignen sich ideal als Ergänzung zu anderen analytischen Methoden oder Kreativitätsmethoden.</w:t>
      </w:r>
    </w:p>
    <w:p w14:paraId="1F0B5854" w14:textId="77777777" w:rsidR="00F230F9" w:rsidRPr="00F230F9" w:rsidRDefault="00F230F9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55C3C" w14:textId="61338CE2" w:rsidR="00CC2D0E" w:rsidRPr="00CC2D0E" w:rsidRDefault="00CC2D0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2D0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3E24F24" w14:textId="0231D3D5" w:rsidR="00CC2D0E" w:rsidRPr="00CC2D0E" w:rsidRDefault="00CC2D0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2D0E" w:rsidRPr="00CC2D0E" w:rsidSect="003C6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2AC6" w14:textId="77777777" w:rsidR="00957D7D" w:rsidRDefault="00957D7D" w:rsidP="00CC2D0E">
      <w:pPr>
        <w:spacing w:after="0" w:line="240" w:lineRule="auto"/>
      </w:pPr>
      <w:r>
        <w:separator/>
      </w:r>
    </w:p>
  </w:endnote>
  <w:endnote w:type="continuationSeparator" w:id="0">
    <w:p w14:paraId="1D7964F9" w14:textId="77777777" w:rsidR="00957D7D" w:rsidRDefault="00957D7D" w:rsidP="00CC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7DA7" w14:textId="77777777" w:rsidR="00957D7D" w:rsidRDefault="00957D7D" w:rsidP="00CC2D0E">
      <w:pPr>
        <w:spacing w:after="0" w:line="240" w:lineRule="auto"/>
      </w:pPr>
      <w:r>
        <w:separator/>
      </w:r>
    </w:p>
  </w:footnote>
  <w:footnote w:type="continuationSeparator" w:id="0">
    <w:p w14:paraId="543E2DFA" w14:textId="77777777" w:rsidR="00957D7D" w:rsidRDefault="00957D7D" w:rsidP="00CC2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EA5"/>
    <w:multiLevelType w:val="hybridMultilevel"/>
    <w:tmpl w:val="3FF4BFF4"/>
    <w:lvl w:ilvl="0" w:tplc="4330D69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B99"/>
    <w:multiLevelType w:val="hybridMultilevel"/>
    <w:tmpl w:val="929ABDF4"/>
    <w:lvl w:ilvl="0" w:tplc="762A9A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5A3C"/>
    <w:multiLevelType w:val="hybridMultilevel"/>
    <w:tmpl w:val="C49408EE"/>
    <w:lvl w:ilvl="0" w:tplc="0BCC0C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5AA3"/>
    <w:multiLevelType w:val="hybridMultilevel"/>
    <w:tmpl w:val="D0F6E514"/>
    <w:lvl w:ilvl="0" w:tplc="BD88B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21B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4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23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C1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EB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60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08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03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B71517"/>
    <w:multiLevelType w:val="hybridMultilevel"/>
    <w:tmpl w:val="863A0212"/>
    <w:lvl w:ilvl="0" w:tplc="A5788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A2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60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ACB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2C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E8C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A49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ED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889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56E72"/>
    <w:multiLevelType w:val="hybridMultilevel"/>
    <w:tmpl w:val="E9A2A98C"/>
    <w:lvl w:ilvl="0" w:tplc="BAF494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53D0"/>
    <w:multiLevelType w:val="hybridMultilevel"/>
    <w:tmpl w:val="3AFC5BD8"/>
    <w:lvl w:ilvl="0" w:tplc="4330D698">
      <w:start w:val="6"/>
      <w:numFmt w:val="bullet"/>
      <w:lvlText w:val="-"/>
      <w:lvlJc w:val="left"/>
      <w:pPr>
        <w:ind w:left="1433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 w16cid:durableId="253897717">
    <w:abstractNumId w:val="0"/>
  </w:num>
  <w:num w:numId="2" w16cid:durableId="889801124">
    <w:abstractNumId w:val="6"/>
  </w:num>
  <w:num w:numId="3" w16cid:durableId="494760195">
    <w:abstractNumId w:val="3"/>
  </w:num>
  <w:num w:numId="4" w16cid:durableId="8988091">
    <w:abstractNumId w:val="1"/>
  </w:num>
  <w:num w:numId="5" w16cid:durableId="1705790955">
    <w:abstractNumId w:val="2"/>
  </w:num>
  <w:num w:numId="6" w16cid:durableId="1298216181">
    <w:abstractNumId w:val="5"/>
  </w:num>
  <w:num w:numId="7" w16cid:durableId="114682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1D"/>
    <w:rsid w:val="00236D94"/>
    <w:rsid w:val="0027182B"/>
    <w:rsid w:val="003A7F58"/>
    <w:rsid w:val="003C692E"/>
    <w:rsid w:val="003F7196"/>
    <w:rsid w:val="00577BF8"/>
    <w:rsid w:val="006C45FE"/>
    <w:rsid w:val="00910E1D"/>
    <w:rsid w:val="00957D7D"/>
    <w:rsid w:val="00985258"/>
    <w:rsid w:val="00A1748A"/>
    <w:rsid w:val="00A536D3"/>
    <w:rsid w:val="00A71CE0"/>
    <w:rsid w:val="00B3614A"/>
    <w:rsid w:val="00C310CA"/>
    <w:rsid w:val="00C77325"/>
    <w:rsid w:val="00CC2D0E"/>
    <w:rsid w:val="00D42F18"/>
    <w:rsid w:val="00D46FB3"/>
    <w:rsid w:val="00F2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0A42"/>
  <w15:chartTrackingRefBased/>
  <w15:docId w15:val="{DA7A4311-895F-48AD-AE0E-9F448378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D0E"/>
  </w:style>
  <w:style w:type="paragraph" w:styleId="Fuzeile">
    <w:name w:val="footer"/>
    <w:basedOn w:val="Standard"/>
    <w:link w:val="Fu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D0E"/>
  </w:style>
  <w:style w:type="paragraph" w:styleId="Listenabsatz">
    <w:name w:val="List Paragraph"/>
    <w:basedOn w:val="Standard"/>
    <w:uiPriority w:val="34"/>
    <w:qFormat/>
    <w:rsid w:val="00C310CA"/>
    <w:pPr>
      <w:ind w:left="720"/>
      <w:contextualSpacing/>
    </w:pPr>
  </w:style>
  <w:style w:type="paragraph" w:styleId="KeinLeerraum">
    <w:name w:val="No Spacing"/>
    <w:uiPriority w:val="1"/>
    <w:qFormat/>
    <w:rsid w:val="00C310C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C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98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838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72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8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366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40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160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896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Eggers</dc:creator>
  <cp:keywords/>
  <dc:description/>
  <cp:lastModifiedBy>Jolan Eggers</cp:lastModifiedBy>
  <cp:revision>11</cp:revision>
  <dcterms:created xsi:type="dcterms:W3CDTF">2023-11-02T15:13:00Z</dcterms:created>
  <dcterms:modified xsi:type="dcterms:W3CDTF">2023-11-30T01:11:00Z</dcterms:modified>
</cp:coreProperties>
</file>