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“Valmont”,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roupas fitness estilo old money, salão de beleza/SPA, studio de pilates e bebidas funcionais.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25 (muito recomendável)</w:t>
      </w:r>
      <w:r>
        <w:rPr>
          <w:rFonts w:ascii="Sora" w:hAnsi="Sora" w:eastAsia="Sora" w:cs="Sora"/>
          <w:b w:val="0"/>
          <w:caps w:val="0"/>
          <w:color w:val="595959"/>
          <w:sz w:val="24"/>
          <w:u w:val="none"/>
        </w:rPr>
        <w:t xml:space="preserve"> – Vestuário; roupas de banho; trajes de banho; camisetas; leggings [calças]; roupa para ginástica; body [roupa íntima]; sapatos para ginástica; sapatos para esportes; botas para esportes; artigos de malha [vestuário]; calças compridas; blazers [vestuário]; vestidos; saias; bonés; faixas para a cabeça [vestuário]; rash guards [camisa de compressão para prática esportiva]; roupas esportivas com sensores digitais.</w:t>
      </w:r>
    </w:p>
    <w:p>
      <w:pPr>
        <w:spacing w:after="240" w:line="360" w:lineRule="auto"/>
        <w:ind w:firstLine="1701"/>
        <w:jc w:val="both"/>
      </w:pPr>
      <w:r>
        <w:rPr>
          <w:rFonts w:ascii="Sora" w:hAnsi="Sora" w:eastAsia="Sora" w:cs="Sora"/>
          <w:b w:val="0"/>
          <w:caps w:val="0"/>
          <w:color w:val="595959"/>
          <w:sz w:val="24"/>
          <w:u w:val="none"/>
        </w:rPr>
        <w:t>A Classe 25 protege o núcleo da operação de vestuário fitness. Abrange roupas de ginástica, leggings, bodies, vestuário esportivo e acessórios — toda a linha de produtos que a marca pretende comercializar.</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(muito recomendável)</w:t>
      </w:r>
      <w:r>
        <w:rPr>
          <w:rFonts w:ascii="Sora" w:hAnsi="Sora" w:eastAsia="Sora" w:cs="Sora"/>
          <w:b w:val="0"/>
          <w:caps w:val="0"/>
          <w:color w:val="595959"/>
          <w:sz w:val="24"/>
          <w:u w:val="none"/>
        </w:rPr>
        <w:t xml:space="preserve"> – Serviços de salões de beleza; serviços de cabeleireiro; massagem; serviços de saúde em spa; serviços de esteticista; serviços de estética; manicure; depilação com cera; serviços de tratamento facial; serviços de sauna; serviços de coloração de cabelos; aromaterapia; aconselhamento em dieta e nutrição.</w:t>
      </w:r>
    </w:p>
    <w:p>
      <w:pPr>
        <w:spacing w:after="240" w:line="360" w:lineRule="auto"/>
        <w:ind w:firstLine="1701"/>
        <w:jc w:val="both"/>
      </w:pPr>
      <w:r>
        <w:rPr>
          <w:rFonts w:ascii="Sora" w:hAnsi="Sora" w:eastAsia="Sora" w:cs="Sora"/>
          <w:b w:val="0"/>
          <w:caps w:val="0"/>
          <w:color w:val="595959"/>
          <w:sz w:val="24"/>
          <w:u w:val="none"/>
        </w:rPr>
        <w:t>A Classe 44 protege a operação de salão de beleza e SPA. Esta é a classe de maior sensibilidade para a marca "Valmont" devido à afinidade mercadológica com a marca suíça de cosméticos — a análise de colidências na PARTE 2 aprofundará essa questão.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41 (recomendável)</w:t>
      </w:r>
      <w:r>
        <w:rPr>
          <w:rFonts w:ascii="Sora" w:hAnsi="Sora" w:eastAsia="Sora" w:cs="Sora"/>
          <w:b w:val="0"/>
          <w:caps w:val="0"/>
          <w:color w:val="595959"/>
          <w:sz w:val="24"/>
          <w:u w:val="none"/>
        </w:rPr>
        <w:t xml:space="preserve"> – Educação física; aulas de ginástica; serviços de academia de ginástica [treinamento físico e para a saúde]; serviços de personal trainer [preparo físico]; serviços de instrução de aulas de atividade física; provimento de instalações desportivas; orientação [treinamento]; coaching [treinamento].</w:t>
      </w:r>
    </w:p>
    <w:p>
      <w:pPr>
        <w:spacing w:after="240" w:line="360" w:lineRule="auto"/>
        <w:ind w:firstLine="1701"/>
        <w:jc w:val="both"/>
      </w:pPr>
      <w:r>
        <w:rPr>
          <w:rFonts w:ascii="Sora" w:hAnsi="Sora" w:eastAsia="Sora" w:cs="Sora"/>
          <w:b w:val="0"/>
          <w:caps w:val="0"/>
          <w:color w:val="595959"/>
          <w:sz w:val="24"/>
          <w:u w:val="none"/>
        </w:rPr>
        <w:t>A Classe 41 protege o studio de pilates e serviços de treinamento físico — atividade com baixo risco de colidência marcária, dada a distância do segmento de cosméticos.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32 (recomendável)</w:t>
      </w:r>
      <w:r>
        <w:rPr>
          <w:rFonts w:ascii="Sora" w:hAnsi="Sora" w:eastAsia="Sora" w:cs="Sora"/>
          <w:b w:val="0"/>
          <w:caps w:val="0"/>
          <w:color w:val="595959"/>
          <w:sz w:val="24"/>
          <w:u w:val="none"/>
        </w:rPr>
        <w:t xml:space="preserve"> – Bebidas não alcoólicas; bebidas não alcoólicas com sabor de chá; preparações para fazer bebidas não alcoólicas; bebidas isotônicas; smoothies; bebidas não alcoólicas à base de aloe vera; bebidas energéticas; bebidas para esportistas enriquecidas com proteínas; água mineral; sucos de frutas.</w:t>
      </w:r>
    </w:p>
    <w:p>
      <w:pPr>
        <w:spacing w:after="240" w:line="360" w:lineRule="auto"/>
        <w:ind w:firstLine="1701"/>
        <w:jc w:val="both"/>
      </w:pPr>
      <w:r>
        <w:rPr>
          <w:rFonts w:ascii="Sora" w:hAnsi="Sora" w:eastAsia="Sora" w:cs="Sora"/>
          <w:b w:val="0"/>
          <w:caps w:val="0"/>
          <w:color w:val="595959"/>
          <w:sz w:val="24"/>
          <w:u w:val="none"/>
        </w:rPr>
        <w:t>A Classe 32 protege a linha de bebidas funcionais. Segmento sem afinidade com cosméticos, com baixo risco de oposição.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(possui sinergia)</w:t>
      </w:r>
      <w:r>
        <w:rPr>
          <w:rFonts w:ascii="Sora" w:hAnsi="Sora" w:eastAsia="Sora" w:cs="Sora"/>
          <w:b w:val="0"/>
          <w:caps w:val="0"/>
          <w:color w:val="595959"/>
          <w:sz w:val="24"/>
          <w:u w:val="none"/>
        </w:rPr>
        <w:t xml:space="preserve"> – Marketing; promoção de vendas para terceiros; comércio no varejo de vestuário; publicidade on-line; organização de eventos de moda para fins promocionais; apresentação de produtos em meios de comunicação para fins de comércio varejista.</w:t>
      </w:r>
    </w:p>
    <w:p>
      <w:pPr>
        <w:spacing w:after="240" w:line="360" w:lineRule="auto"/>
        <w:ind w:firstLine="1701"/>
        <w:jc w:val="both"/>
      </w:pPr>
      <w:r>
        <w:rPr>
          <w:rFonts w:ascii="Sora" w:hAnsi="Sora" w:eastAsia="Sora" w:cs="Sora"/>
          <w:b w:val="0"/>
          <w:caps w:val="0"/>
          <w:color w:val="595959"/>
          <w:sz w:val="24"/>
          <w:u w:val="none"/>
        </w:rPr>
        <w:t>A Classe 35 protege a operação comercial e de marketing da marca, incluindo o comércio varejista de roupas e bebidas.</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sinal marcário "Valmont" submete-se à análise intrínseca exigida pela Lei 9.279/96 para verificação de registrabilidade perante o INPI. Trata-se de vocábulo que evoca, em sua construção linguística, a junção dos radicais "Val" (vale, valor) e "Mont" (monte, montanha), produzindo uma palavra de sonoridade elegante e aristocrática que dialoga com o posicionamento old money pretendido pela titular.</w:t>
      </w:r>
    </w:p>
    <w:p>
      <w:pPr>
        <w:spacing w:after="240" w:line="360" w:lineRule="auto"/>
        <w:ind w:firstLine="1701"/>
        <w:jc w:val="both"/>
      </w:pPr>
      <w:r>
        <w:rPr>
          <w:rFonts w:ascii="Sora" w:hAnsi="Sora" w:eastAsia="Sora" w:cs="Sora"/>
          <w:b w:val="0"/>
          <w:caps w:val="0"/>
          <w:color w:val="595959"/>
          <w:sz w:val="24"/>
          <w:u w:val="none"/>
        </w:rPr>
        <w:t>No tocante à VERACIDADE, o sinal "Valmont" não induz o consumidor a erro quanto à origem, natureza ou qualidade dos serviços e produtos. Embora "Valmont" seja reconhecível como sobrenome de origem francesa (notoriamente associado ao personagem literário do romance "As Ligações Perigosas" de Choderlos de Laclos) e como nome de marca suíça de cosméticos de luxo (CVL Cosmetics S.A.), a utilização do vocábulo para roupas fitness, pilates, salão de beleza e bebidas funcionais no Brasil não sugere falsamente procedência suíça ou francesa dos serviços. O consumidor brasileiro médio não associaria necessariamente "Valmont" à marca suíça de cosméticos, exceto no segmento de beleza — onde a associação é preocupante e será objeto de análise detalhada na PARTE 2. O requisito de VERACIDADE encontra-se satisfeito para a maioria das classes, com ressalva na Classe 44.</w:t>
      </w:r>
    </w:p>
    <w:p>
      <w:pPr>
        <w:spacing w:after="240" w:line="360" w:lineRule="auto"/>
        <w:ind w:firstLine="1701"/>
        <w:jc w:val="both"/>
      </w:pPr>
      <w:r>
        <w:rPr>
          <w:rFonts w:ascii="Sora" w:hAnsi="Sora" w:eastAsia="Sora" w:cs="Sora"/>
          <w:b w:val="0"/>
          <w:caps w:val="0"/>
          <w:color w:val="595959"/>
          <w:sz w:val="24"/>
          <w:u w:val="none"/>
        </w:rPr>
        <w:t>Quanto à LICEIDADE, a análise verifica que o sinal não incide nas proibições absolutas do artigo 124 da LPI. Não é termo técnico, não é indicação geográfica protegida (Valmont é comuna na França, mas sem reconhecimento como IG no Brasil), não é expressão de uso necessário. Contudo, a existência da marca notória "Valmont" da CVL Cosmetics S.A. no segmento de cosméticos de luxo pode fundamentar arguição de diluição de marca notória (Art. 125 e 126 da LPI), particularmente na Classe 44 (beleza/SPA) onde a afinidade mercadológica com cosméticos é direta. A LICEIDADE resta preservada nas classes sem afinidade com cosméticos, mas é questionável na Classe 44.</w:t>
      </w:r>
    </w:p>
    <w:p>
      <w:pPr>
        <w:spacing w:after="240" w:line="360" w:lineRule="auto"/>
        <w:ind w:firstLine="1701"/>
        <w:jc w:val="both"/>
      </w:pPr>
      <w:r>
        <w:rPr>
          <w:rFonts w:ascii="Sora" w:hAnsi="Sora" w:eastAsia="Sora" w:cs="Sora"/>
          <w:b w:val="0"/>
          <w:caps w:val="0"/>
          <w:color w:val="595959"/>
          <w:sz w:val="24"/>
          <w:u w:val="none"/>
        </w:rPr>
        <w:t>No campo da DISTINTIVIDADE, o sinal "Valmont" apresenta perfil FANTASIOSO para a maioria das aplicações pretendidas: inexiste relação descritiva entre o vocábulo e roupas fitness, pilates ou bebidas funcionais. O consumidor não associa "Valmont" a nenhum atributo, técnica ou característica desses serviços — o nome funciona como identificador puro de origem empresarial. Para serviços de beleza e SPA (Classe 44), o sinal transita para o EVOCATIVO: a sonoridade aristocrática e a associação inconsciente com a marca suíça de cosméticos evocam luxo e sofisticação, que são atributos desejados nesse segmento. A função distintiva é robusta em todas as classes — o consumidor identifica "Valmont" como nome próprio de um empreendimento, não como descrição genérica.</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investigação de anterioridades para o sinal "Valmont" foi conduzida nas cinco classes de interesse (25, 44, 41, 32 e 35), revelando um terreno marcário de densidade moderada: 26 processos identificados, dos quais 19 são únicos — 14 vivos, nenhum indeferido e 5 extintos. A marca "Valmont" possui dois titulares dominantes no cenário brasileiro que definem o campo de risco: a Valmont Industries, Inc. (multinacional americana de infraestrutura agrícola e solar, presente nas Classes 35, 37 e 44 com especificações em irrigação e serviços industriais) e a CVL Cosmetics S.A. (marca suíça de cosméticos de luxo, presente com a marca "V VALMONT" na Classe 03). A presença desses titulares internacionais com escritórios de PI sofisticados exige cautela estratégica, particularmente nos segmentos onde possa haver alegação de diluição de marca notória.</w:t>
      </w:r>
    </w:p>
    <w:p>
      <w:pPr>
        <w:spacing w:after="240" w:line="360" w:lineRule="auto"/>
        <w:ind w:firstLine="1701"/>
        <w:jc w:val="both"/>
      </w:pPr>
      <w:r>
        <w:rPr>
          <w:rFonts w:ascii="Sora" w:hAnsi="Sora" w:eastAsia="Sora" w:cs="Sora"/>
          <w:b w:val="0"/>
          <w:caps w:val="0"/>
          <w:color w:val="595959"/>
          <w:sz w:val="24"/>
          <w:u w:val="none"/>
        </w:rPr>
        <w:t>Na Classe 25, a investigação revelou apenas 3 processos, e o resultado é favorável: nenhuma marca "Valmont" viva opera no segmento de vestuário. O processo histórico 819.361.925, "JACQUES VALMONT", da Planet Fashion International S.A., encontra-se extinto — o que elimina qualquer óbice e funciona como precedente de que o INPI já admitiu o radical "Valmont" no universo da moda. A ausência de anterioridades vivas com especificação em vestuário fitness ou esportivo configura campo aberto nesta classe. O risco residual provém de eventual oposição da CVL Cosmetics S.A. (marca suíça), que poderia argumentar expansão natural de marca de luxo para o segmento de vestuário — argumento possível mas frágil dada a distância entre cosméticos e roupas fitness.</w:t>
      </w:r>
    </w:p>
    <w:p>
      <w:pPr>
        <w:spacing w:after="240" w:line="360" w:lineRule="auto"/>
        <w:ind w:firstLine="1701"/>
        <w:jc w:val="both"/>
      </w:pPr>
      <w:r>
        <w:rPr>
          <w:rFonts w:ascii="Sora" w:hAnsi="Sora" w:eastAsia="Sora" w:cs="Sora"/>
          <w:b w:val="0"/>
          <w:caps w:val="0"/>
          <w:color w:val="595959"/>
          <w:sz w:val="24"/>
          <w:u w:val="none"/>
        </w:rPr>
        <w:t>Na Classe 44, identificou-se apenas 1 processo vivo: "VALMONT" (processo 900.590.955), de titularidade da Valmont Industries, Inc., com especificação em "assessoria, consultoria e informação na área agrícola; irrigação" — serviços radicalmente distintos de salão de beleza e SPA. A Valmont Industries opera no segmento de infraestrutura agrícola, não de estética pessoal, e a Tese da Especialidade sustenta plenamente a convivência. Contudo, o risco real nesta classe não provém da Valmont Industries, mas da CVL Cosmetics S.A. — detentora da marca "V VALMONT" registrada na Classe 03 (cosméticos). Embora a CVL não possua registro na Classe 44, a afinidade mercadológica entre cosméticos de luxo (Classe 03) e serviços de salão de beleza/SPA (Classe 44) é reconhecida pelo INPI e pela jurisprudência como uma das mais fortes do sistema de classificação de Nice. A probabilidade de oposição por parte da CVL, representada tipicamente por escritórios de PI de primeiro escalão, é significativa. Uma oposição fundamentada nos artigos 124, XIX (imitação de marca alheia para serviço afim), 125 (proteção especial à marca de alto renome) ou 126 (marca notoriamente conhecida) teria fundamentação robusta. Esta é a classe de maior risco para a marca "Valmont" e merece a recomendação mais enfática deste laudo: considerar seriamente uma marca alternativa para a operação de salão de beleza/SPA, ou adotar forma mista com logotipo altamente distintivo e especificação restritiva que minimize a sobreposição com o universo de cosméticos de luxo.</w:t>
      </w:r>
    </w:p>
    <w:p>
      <w:pPr>
        <w:spacing w:after="240" w:line="360" w:lineRule="auto"/>
        <w:ind w:firstLine="1701"/>
        <w:jc w:val="both"/>
      </w:pPr>
      <w:r>
        <w:rPr>
          <w:rFonts w:ascii="Sora" w:hAnsi="Sora" w:eastAsia="Sora" w:cs="Sora"/>
          <w:b w:val="0"/>
          <w:caps w:val="0"/>
          <w:color w:val="595959"/>
          <w:sz w:val="24"/>
          <w:u w:val="none"/>
        </w:rPr>
        <w:t>Na Classe 41, o panorama é favorável: apenas 2 processos, sendo o único vivo "Lys Valmont" (processo 941.464.741), com especificação em entretenimento e shows — segmento sem qualquer interface com studio de pilates ou educação física. O elemento "Lys" diferencia suficientemente o conjunto marcário. O campo está essencialmente livre para serviços de pilates, treinamento físico e coaching.</w:t>
      </w:r>
    </w:p>
    <w:p>
      <w:pPr>
        <w:spacing w:after="240" w:line="360" w:lineRule="auto"/>
        <w:ind w:firstLine="1701"/>
        <w:jc w:val="both"/>
      </w:pPr>
      <w:r>
        <w:rPr>
          <w:rFonts w:ascii="Sora" w:hAnsi="Sora" w:eastAsia="Sora" w:cs="Sora"/>
          <w:b w:val="0"/>
          <w:caps w:val="0"/>
          <w:color w:val="595959"/>
          <w:sz w:val="24"/>
          <w:u w:val="none"/>
        </w:rPr>
        <w:t>Na Classe 32, a investigação revelou 6 processos, com achado crítico: dois registros "VALMONT" puros (processos 913.539.880 e 913.539.910), ambos de titularidade da Bodegas Chandon S.A. (grupo LVMH), com especificação ampla em "cervejas, águas minerais e outras bebidas não alcoólicas, bebidas de frutas e sucos de frutas". A Bodegas Chandon é subsidiária do grupo LVMH, o maior conglomerado de luxo do mundo. A presença de "VALMONT" puro na Classe 32 com especificação que abrange exatamente o tipo de bebida funcional pretendido pela cliente (chá verde, bebidas não alcoólicas) constitui barreira direta ao registro. A colidência é frontal: mesmo nome, mesma classe, especificações sobrepostas. A viabilidade de registro na Classe 32 é significativamente comprometida por esta anterioridade.</w:t>
      </w:r>
    </w:p>
    <w:p>
      <w:pPr>
        <w:spacing w:after="240" w:line="360" w:lineRule="auto"/>
        <w:ind w:firstLine="1701"/>
        <w:jc w:val="both"/>
      </w:pPr>
      <w:r>
        <w:rPr>
          <w:rFonts w:ascii="Sora" w:hAnsi="Sora" w:eastAsia="Sora" w:cs="Sora"/>
          <w:b w:val="0"/>
          <w:caps w:val="0"/>
          <w:color w:val="595959"/>
          <w:sz w:val="24"/>
          <w:u w:val="none"/>
        </w:rPr>
        <w:t>Na Classe 35, o cenário é o mais disputado: 14 processos, dos quais se destacam "Valmont Joias Est 2024" (processo 936.963.778), com especificação em comércio de joalheria, "VALMONT &amp; CO" (processo 937.531.952), com especificação em comércio de joalheria e bijuterias, "VALMONT IRRIGATION" (processo 825.430.267) e "VALMONT SOLAR" (processo 501.561.822), ambos da Valmont Industries com especificações industriais, e múltiplos registros "VALMONT" da Valmont Industries em subclasses antigas. O campo de varejo na Classe 35 está parcialmente ocupado: "Valmont Joias" e "VALMONT &amp; CO" operam em joalheria, mas a especificação de "VALMONT &amp; CO" inclui "bijuterias" — segmento que pode ser considerado afim ao universo fashion pretendido. A viabilidade dependerá de especificação cirúrgica: "comércio varejista de roupas esportivas e fitness" se diferencia suficientemente de "comércio de joalheria".</w:t>
      </w:r>
    </w:p>
    <w:p>
      <w:pPr>
        <w:spacing w:after="240" w:line="360" w:lineRule="auto"/>
        <w:ind w:firstLine="1701"/>
        <w:jc w:val="both"/>
      </w:pPr>
      <w:r>
        <w:rPr>
          <w:rFonts w:ascii="Sora" w:hAnsi="Sora" w:eastAsia="Sora" w:cs="Sora"/>
          <w:b w:val="0"/>
          <w:caps w:val="0"/>
          <w:color w:val="595959"/>
          <w:sz w:val="24"/>
          <w:u w:val="none"/>
        </w:rPr>
        <w:t>O veredito de viabilidade para o registro da marca "Valmont" apresenta gradação significativa entre as classes. Na Classe 25 (vestuário fitness), a viabilidade é PROVÁVEL — campo livre sem anterioridades diretas, risco residual apenas de oposição da marca suíça por diluição. Na Classe 41 (pilates), a viabilidade é MUITO PROVÁVEL — campo livre, sem anterioridades relevantes. Na Classe 44 (salão de beleza/SPA), a viabilidade é BAIXA — a afinidade mercadológica com a marca suíça de cosméticos "V VALMONT" torna altamente provável uma oposição fundamentada, e recomenda-se fortemente considerar marca alternativa para esta operação ou adotar marca mista com forte diferenciação visual. Na Classe 32 (bebidas), a viabilidade é BAIXA — os registros "VALMONT" da Bodegas Chandon com especificação em bebidas não alcoólicas constituem barreira direta e frontal. Na Classe 35 (comércio), a viabilidade é POSSÍVEL COM ESTRATÉGIA — a especificação deve ser cirurgicamente restrita a vestuário esportivo e fitness, evitando qualquer sobreposição com joalheria ou cosméticos. A estratégia global recomendada é priorizar as Classes 25 e 41 (onde o prognóstico é favorável), avaliar com extrema cautela as Classes 44 e 32 (onde o risco de oposição é substancial), e considerar seriamente marcas alternativas para os segmentos de beleza/SPA e bebidas funcionais — segmentos onde titulares internacionais sofisticados detêm posição consolidada sob o mesmo sinal.</w:t>
      </w:r>
    </w:p>
    <w:p>
      <w:pPr>
        <w:spacing w:before="720"/>
        <w:jc w:val="right"/>
      </w:pPr>
      <w:r>
        <w:rPr>
          <w:rFonts w:ascii="Sora" w:hAnsi="Sora" w:eastAsia="Sora" w:cs="Sora"/>
          <w:b w:val="0"/>
          <w:caps w:val="0"/>
          <w:color w:val="595959"/>
          <w:sz w:val="24"/>
          <w:u w:val="none"/>
        </w:rPr>
        <w:t>É o parecer.</w:t>
        <w:br/>
        <w:t>17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Eduarda Veiga</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