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“Amsterdam”,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agência de marketing digital.</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(muito recomendável)</w:t>
      </w:r>
      <w:r>
        <w:rPr>
          <w:rFonts w:ascii="Sora" w:hAnsi="Sora" w:eastAsia="Sora" w:cs="Sora"/>
          <w:b w:val="0"/>
          <w:caps w:val="0"/>
          <w:color w:val="595959"/>
          <w:sz w:val="24"/>
          <w:u w:val="none"/>
        </w:rPr>
        <w:t xml:space="preserve"> – Publicidade; propaganda; serviços de agências de publicidade; serviços de agências de propaganda; marketing; pesquisa de marketing; estudos de marketing; publicidade on-line em rede de computadores; otimização de ferramenta de busca para fins de promoção de vendas; otimização de tráfego de website; publicidade pay-per-click; desenvolvimento de conceitos de campanha publicitária; desenvolvimento de conceitos de marketing; marketing por influenciadores; promoção de produtos por meio de influenciadores; serviços de layout para fins publicitários; redação de textos publicitários; marketing direcionado; serviços de geração de leads [marketing]; promoção de vendas para terceiros; consultoria referente a estratégias de comunicação em publicidade; serviços publicitários para criar a identidade da marca para terceiros.</w:t>
      </w:r>
    </w:p>
    <w:p>
      <w:pPr>
        <w:spacing w:after="240" w:line="360" w:lineRule="auto"/>
        <w:ind w:firstLine="1701"/>
        <w:jc w:val="both"/>
      </w:pPr>
      <w:r>
        <w:rPr>
          <w:rFonts w:ascii="Sora" w:hAnsi="Sora" w:eastAsia="Sora" w:cs="Sora"/>
          <w:b w:val="0"/>
          <w:caps w:val="0"/>
          <w:color w:val="595959"/>
          <w:sz w:val="24"/>
          <w:u w:val="none"/>
        </w:rPr>
        <w:t>A Classe 35 constitui o núcleo essencial da proteção marcária para uma agência de marketing digital. Abrange a totalidade dos serviços de publicidade, propaganda, marketing e promoção que compõem a atividade-fim da empresa. Sem esta classe, a marca ficaria desprotegida exatamente no segmento em que atua.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42 (muito recomendável)</w:t>
      </w:r>
      <w:r>
        <w:rPr>
          <w:rFonts w:ascii="Sora" w:hAnsi="Sora" w:eastAsia="Sora" w:cs="Sora"/>
          <w:b w:val="0"/>
          <w:caps w:val="0"/>
          <w:color w:val="595959"/>
          <w:sz w:val="24"/>
          <w:u w:val="none"/>
        </w:rPr>
        <w:t xml:space="preserve"> – Criação e manutenção de websites para terceiros; elaboração [concepção] de software de computador; consultoria em design de websites; design gráfico de material promocional; serviços de criação em artes gráficas; serviços de desenhos [design] de logomarcas; serviços de desenhos [design] de assinaturas visuais; software como serviço [SaaS]; hospedagem de websites; consultoria tecnológica; consultoria em tecnologia da computação.</w:t>
      </w:r>
    </w:p>
    <w:p>
      <w:pPr>
        <w:spacing w:after="240" w:line="360" w:lineRule="auto"/>
        <w:ind w:firstLine="1701"/>
        <w:jc w:val="both"/>
      </w:pPr>
      <w:r>
        <w:rPr>
          <w:rFonts w:ascii="Sora" w:hAnsi="Sora" w:eastAsia="Sora" w:cs="Sora"/>
          <w:b w:val="0"/>
          <w:caps w:val="0"/>
          <w:color w:val="595959"/>
          <w:sz w:val="24"/>
          <w:u w:val="none"/>
        </w:rPr>
        <w:t>A Classe 42 protege os serviços técnicos e digitais que uma agência de marketing digital necessariamente presta. Criação de websites, design gráfico, desenvolvimento de identidade visual e soluções tecnológicas são entregas recorrentes no portfólio de agências deste segmento. A ausência desta classe deixaria vulnerável toda a dimensão técnico-digital da operação.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(recomendável)</w:t>
      </w:r>
      <w:r>
        <w:rPr>
          <w:rFonts w:ascii="Sora" w:hAnsi="Sora" w:eastAsia="Sora" w:cs="Sora"/>
          <w:b w:val="0"/>
          <w:caps w:val="0"/>
          <w:color w:val="595959"/>
          <w:sz w:val="24"/>
          <w:u w:val="none"/>
        </w:rPr>
        <w:t xml:space="preserve"> – Produção de filmes, exceto para fins de publicidade; produção de shows; provimento de publicações eletrônicas on-line, não baixáveis; publicação on-line de livros e periódicos eletrônicos; editoração eletrônica; filmagem em vídeo; produção de podcasts; fotografia; produção musical; serviços de edição de vídeos para eventos.</w:t>
      </w:r>
    </w:p>
    <w:p>
      <w:pPr>
        <w:spacing w:after="240" w:line="360" w:lineRule="auto"/>
        <w:ind w:firstLine="1701"/>
        <w:jc w:val="both"/>
      </w:pPr>
      <w:r>
        <w:rPr>
          <w:rFonts w:ascii="Sora" w:hAnsi="Sora" w:eastAsia="Sora" w:cs="Sora"/>
          <w:b w:val="0"/>
          <w:caps w:val="0"/>
          <w:color w:val="595959"/>
          <w:sz w:val="24"/>
          <w:u w:val="none"/>
        </w:rPr>
        <w:t>A Classe 41 protege serviços de produção de conteúdo que agências de marketing digital frequentemente oferecem como parte de suas campanhas — produção de vídeos, podcasts, conteúdo editorial e fotografia. Embora estes serviços possam ser instrumentais à publicidade (coberta pela Classe 35), a produção de conteúdo em si possui proteção autônoma nesta classe.</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38 (possui sinergia)</w:t>
      </w:r>
      <w:r>
        <w:rPr>
          <w:rFonts w:ascii="Sora" w:hAnsi="Sora" w:eastAsia="Sora" w:cs="Sora"/>
          <w:b w:val="0"/>
          <w:caps w:val="0"/>
          <w:color w:val="595959"/>
          <w:sz w:val="24"/>
          <w:u w:val="none"/>
        </w:rPr>
        <w:t xml:space="preserve"> – Transmissão de mensagens e de imagens por meio de computador; provimento de acesso a banco de dados; streaming de dados [distribuição de dados]; transmissão de vídeo sob demanda; transmissão de podcasts; provimento de fóruns on-line.</w:t>
      </w:r>
    </w:p>
    <w:p>
      <w:pPr>
        <w:spacing w:after="240" w:line="360" w:lineRule="auto"/>
        <w:ind w:firstLine="1701"/>
        <w:jc w:val="both"/>
      </w:pPr>
      <w:r>
        <w:rPr>
          <w:rFonts w:ascii="Sora" w:hAnsi="Sora" w:eastAsia="Sora" w:cs="Sora"/>
          <w:b w:val="0"/>
          <w:caps w:val="0"/>
          <w:color w:val="595959"/>
          <w:sz w:val="24"/>
          <w:u w:val="none"/>
        </w:rPr>
        <w:t>A Classe 38 possui sinergia com a atividade de marketing digital na medida em que cobre os serviços de telecomunicação e transmissão digital — canais pelos quais as campanhas de marketing são distribuídas. Para uma agência que opera plataformas próprias de distribuição de conteúdo ou gestão de comunidades online, esta classe oferece camada adicional de proteção.</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"Amsterdam" submete-se à análise intrínseca exigida pela Lei 9.279/96 para verificação de registrabilidade perante o INPI. Trata-se de vocábulo que designa a capital dos Países Baixos, o que impõe exame rigoroso dos três pilares fundamentais da registrabilidade.</w:t>
      </w:r>
    </w:p>
    <w:p>
      <w:pPr>
        <w:spacing w:after="240" w:line="360" w:lineRule="auto"/>
        <w:ind w:firstLine="1701"/>
        <w:jc w:val="both"/>
      </w:pPr>
      <w:r>
        <w:rPr>
          <w:rFonts w:ascii="Sora" w:hAnsi="Sora" w:eastAsia="Sora" w:cs="Sora"/>
          <w:b w:val="0"/>
          <w:caps w:val="0"/>
          <w:color w:val="595959"/>
          <w:sz w:val="24"/>
          <w:u w:val="none"/>
        </w:rPr>
        <w:t>No tocante à VERACIDADE, o sinal "Amsterdam" corresponde a uma indicação geográfica real — a cidade de Amsterdam, na Holanda. O exame de VERACIDADE avalia se o sinal induz o consumidor a erro quanto à origem, natureza ou qualidade do produto ou serviço. No caso em apreço, a marca "Amsterdam" aplicada a serviços de agência de marketing digital não sugere procedência geográfica holandesa dos serviços, tampouco induz a crer que os serviços sejam prestados naquela localidade. O consumidor médio brasileiro não associaria necessariamente uma agência de marketing digital a Amsterdam como local de procedência, diferentemente do que ocorreria, por exemplo, com produtos tipicamente associados à região (como queijos ou tulipas). Nesse sentido, o requisito de VERACIDADE encontra-se satisfeito, ressalvada a ponderação de que indicações geográficas reconhecidas podem encontrar restrição no artigo 124, inciso IX, da LPI.</w:t>
      </w:r>
    </w:p>
    <w:p>
      <w:pPr>
        <w:spacing w:after="240" w:line="360" w:lineRule="auto"/>
        <w:ind w:firstLine="1701"/>
        <w:jc w:val="both"/>
      </w:pPr>
      <w:r>
        <w:rPr>
          <w:rFonts w:ascii="Sora" w:hAnsi="Sora" w:eastAsia="Sora" w:cs="Sora"/>
          <w:b w:val="0"/>
          <w:caps w:val="0"/>
          <w:color w:val="595959"/>
          <w:sz w:val="24"/>
          <w:u w:val="none"/>
        </w:rPr>
        <w:t>Quanto à LICEIDADE, a análise exige verificação de que o sinal não incide em nenhuma das proibições absolutas do artigo 124 da LPI. O inciso IX veda o registro de indicação geográfica quando esta induzir falsa procedência. Contudo, a jurisprudência do INPI tem admitido o registro de nomes geográficos quando empregados em sentido ARBITRÁRIO, sem conexão direta com a atividade designada — ou seja, quando o topônimo funciona como elemento de fantasia e não como indicador de origem. "Amsterdam" para marketing digital enquadra-se nessa hipótese: o nome geográfico não descreve nem sugere a procedência dos serviços, operando como elemento evocativo de sofisticação e vanguarda. A LICEIDADE, portanto, resta preservada, desde que não haja pretensão de indicar origem holandesa dos serviços.</w:t>
      </w:r>
    </w:p>
    <w:p>
      <w:pPr>
        <w:spacing w:after="240" w:line="360" w:lineRule="auto"/>
        <w:ind w:firstLine="1701"/>
        <w:jc w:val="both"/>
      </w:pPr>
      <w:r>
        <w:rPr>
          <w:rFonts w:ascii="Sora" w:hAnsi="Sora" w:eastAsia="Sora" w:cs="Sora"/>
          <w:b w:val="0"/>
          <w:caps w:val="0"/>
          <w:color w:val="595959"/>
          <w:sz w:val="24"/>
          <w:u w:val="none"/>
        </w:rPr>
        <w:t>No campo da DISTINTIVIDADE — requisito mais sensível neste caso — o sinal "Amsterdam" aplicado a serviços de marketing digital transita entre o ARBITRÁRIO e o EVOCATIVO. É ARBITRÁRIO na medida em que inexiste relação lógica ou descritiva entre uma cidade europeia e a prestação de serviços de marketing digital. Simultaneamente, o sinal pode ser considerado EVOCATIVO porque o nome "Amsterdam" carrega conotações de criatividade, vanguarda, inovação e design — valores frequentemente associados à cultura holandesa e que dialogam com o universo do marketing digital. Não é DESCRITIVO, pois não descreve diretamente nenhum atributo do serviço. Não é FANTASIOSO, pois o vocábulo existe no léxico como topônimo real. A função distintiva está presente: o consumidor é capaz de identificar a origem empresarial dos serviços por meio do sinal "Amsterdam", diferenciando-o de outros prestadores no mesmo segmento. O risco principal reside na densidade marcária — sendo um nome geográfico notório, é provável que existam diversos registros de "Amsterdam" em múltiplas classes, o que pode gerar disputas de colidência. A proteção obtida será necessariamente mais restrita do que a conferida a uma marca fantasiosa, exigindo convivência com homônimos em classes não relacionadas.</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O terreno marcário para o sinal "Amsterdam" apresenta uma densidade expressiva porém administrável: a busca automatizada por classe identificou 64 processos nas quatro classes de interesse (35, 42, 41 e 38), dos quais 53 são únicos após eliminação de duplicatas interclasses. Desse universo, 16 encontram-se vivos (em vigor ou aguardando exame), 8 foram indeferidos pelo INPI (constituindo jurisprudência relevante) e 29 estão extintos ou arquivados (funcionando como precedentes de convivência). O volume de anterioridades era previsível: "Amsterdam" é um topônimo mundialmente reconhecido, e o próprio histórico do INPI demonstra que dezenas de titulares distintos — de joalheiros a motéis, de museus a head shops — utilizam o vocábulo em classes variadas sem que o Instituto considere haver confusão entre eles. Essa multiplicidade de registros opera, paradoxalmente, em favor da registrabilidade: evidencia que o vocábulo funciona como elemento de fantasia setorial, não como indicador de origem exclusiva, e que o INPI reconhece essa realidade ao permitir a coexistência reiterada.</w:t>
      </w:r>
    </w:p>
    <w:p>
      <w:pPr>
        <w:spacing w:after="240" w:line="360" w:lineRule="auto"/>
        <w:ind w:firstLine="1701"/>
        <w:jc w:val="both"/>
      </w:pPr>
      <w:r>
        <w:rPr>
          <w:rFonts w:ascii="Sora" w:hAnsi="Sora" w:eastAsia="Sora" w:cs="Sora"/>
          <w:b w:val="0"/>
          <w:caps w:val="0"/>
          <w:color w:val="595959"/>
          <w:sz w:val="24"/>
          <w:u w:val="none"/>
        </w:rPr>
        <w:t>Na Classe 35, a investigação revelou 42 processos, dos quais 7 permanecem vivos. A anterioridade mais direta é o processo 937.025.984, depositado em 14/11/2024 por AMSTERDAM MOTEL LTDA – ME, cuja marca "AMSTERDAM" encontra-se em status de aguardando exame de mérito com especificação restrita a "negócios de gestão hoteleira". Embora a reprodução do sinal seja integral, a especificação deste registro é radicalmente diversa da atividade de marketing digital: gestão hoteleira não guarda afinidade, complementaridade ou relação de consumo com publicidade, propaganda ou marketing digital, e o consumidor médio jamais confundiria uma agência de marketing digital com um serviço de gestão de motéis — a Tese da Especialidade sustenta plenamente a convivência. O processo 828.205.132, "AMSTERDAM SAUER", de titularidade da Amsterdam Sauer Joalheiros Ltda., constitui registro em vigor na Classe 35 com especificação concentrada em "venda/comércio de metais preciosos e suas ligas", segmento sem qualquer interface com marketing digital; ademais, o elemento nominativo adicional "SAUER" diferencia suficientemente o conjunto marcário. A marca "OLYMPISCHE SPIELE – 1928 AMSTERDAM" (processo 905.647.254), do Comitê Olímpico Internacional, opera em propaganda esportiva — há afinidade parcial com o campo da propaganda, porém trata-se de marca composta de elevada complexidade cujo elemento "Amsterdam" funciona como mero indicador geográfico-histórico dentro de um conjunto muito mais amplo, sem risco de confusão com uma marca "Amsterdam" isolada para marketing digital. O mesmo raciocínio aplica-se a "VAN GOGH MUSEUM AMSTERDAM" (processo 908.680.465), da Stichting Van Gogh Museum, cuja especificação dirige-se a organização de feiras e exposições para fins comerciais ligados ao museu. A marca "AMSTERDAM HEAD SHOP" (processo 916.057.364), com especificação em assessoria e gestão de negócios, opera no nicho de head shops — atividade absolutamente diversa do marketing digital, e o elemento "HEAD SHOP" a diferencia de forma inequívoca. "AMSTERDAM CONVENIENCIA" (processo 934.144.745), com especificação em supermercado e comércio de alimentos, não guarda a menor afinidade mercadológica. "GREEN HOUSE AMSTERDAM" (processo 936.774.983), da holandesa GHSC Trading B.V., aguarda exame de mérito com especificação mais ampla que inclui "administração comercial" e "assessoria em gestão" — esta é a anterioridade que merece maior atenção na Classe 35, pois a amplitude de sua especificação poderia, em tese, tangenciar o campo do marketing; contudo, trata-se de marca composta com elemento "GREEN HOUSE" que a distingue suficientemente, e sua atividade real concentra-se no mercado de cannabis — distinto do marketing digital. Dentre as marcas mortas, destaca-se o processo 901.706.035, "AMSTERDAM" puro outrora registrado na Classe 35 com especificação em serviços editoriais, atualmente extinto, o que configura precedente de que o INPI já concedeu registro ao sinal isolado nesta classe. A análise da jurisprudência de indeferimentos revela padrão importante: o processo 913.771.767, "Amsterdam" na Classe 35, foi indeferido por reproduzir registros anteriores com base no artigo 124, inciso XIX, da LPI — demonstrando que o INPI aplica o critério de colidência quando há sobreposição de especificações entre marcas idênticas. Contudo, a marca "Amsterdam Choice" (processo 916.700.500) também foi indeferida apesar do acréscimo "Choice", indicando que elementos adicionais genéricos não salvam quando as especificações se sobrepõem diretamente. As marcas "CANNABIS STORE AMSTERDAM" (processos 915.878.682, 501.525.961 e 922.778.302) foram indeferidas por motivos diversos — reprodução de denominação de droga ilícita (Art. 124, III) e falsa indicação de procedência (Art. 124, IX) — confirmando que o elemento "Amsterdam" associado a cannabis enfrenta vedação absoluta, o que nada tem a ver com marketing digital.</w:t>
      </w:r>
    </w:p>
    <w:p>
      <w:pPr>
        <w:spacing w:after="240" w:line="360" w:lineRule="auto"/>
        <w:ind w:firstLine="1701"/>
        <w:jc w:val="both"/>
      </w:pPr>
      <w:r>
        <w:rPr>
          <w:rFonts w:ascii="Sora" w:hAnsi="Sora" w:eastAsia="Sora" w:cs="Sora"/>
          <w:b w:val="0"/>
          <w:caps w:val="0"/>
          <w:color w:val="595959"/>
          <w:sz w:val="24"/>
          <w:u w:val="none"/>
        </w:rPr>
        <w:t>Na Classe 42, o panorama é o mais favorável dentre todas as classes analisadas: dos 7 processos identificados, nenhum se encontra vivo com especificação que tangencia serviços de tecnologia, design ou desenvolvimento web. O processo 821.867.482, "AMSTERDAM" puro, está arquivado, e o processo 823.975.762, também "AMSTERDAM" na Classe 42, tem registro extinto — ambos funcionam como precedentes de que o INPI já admitiu o sinal nesta classe. Os demais processos — "AMSTERDAM SAUER" em diversas variações e "AMSTERDAM" em subclasses antigas — estão todos arquivados ou extintos. A ausência completa de anterioridades vivas na Classe 42 configura campo aberto para registro, particularmente quando a especificação se concentra em criação de websites, design gráfico, consultoria em tecnologia e desenvolvimento de identidade visual.</w:t>
      </w:r>
    </w:p>
    <w:p>
      <w:pPr>
        <w:spacing w:after="240" w:line="360" w:lineRule="auto"/>
        <w:ind w:firstLine="1701"/>
        <w:jc w:val="both"/>
      </w:pPr>
      <w:r>
        <w:rPr>
          <w:rFonts w:ascii="Sora" w:hAnsi="Sora" w:eastAsia="Sora" w:cs="Sora"/>
          <w:b w:val="0"/>
          <w:caps w:val="0"/>
          <w:color w:val="595959"/>
          <w:sz w:val="24"/>
          <w:u w:val="none"/>
        </w:rPr>
        <w:t>Na Classe 41, a investigação revelou 12 processos, dos quais 5 permanecem vivos. A anterioridade "Amsterdam Pub" (processo 915.873.028), de titularidade da Power Empreendimentos Ltda., é registro em vigor cuja especificação abrange "produção de shows, serviços de boates, entretenimento" — atividade voltada a entretenimento presencial/noturno, sem interface com produção de conteúdo digital audiovisual. "AMSTERDAM BARTENDERS BAR PREMIUM" (processo 924.754.273), com especificação em "banda de música, organização de festas, serviços de bar", opera no mesmo nicho gastronômico-festivo e se distingue tanto pelo conjunto marcário quanto pela especificação. "AMSTERDAM AJU" (processo 935.265.694), da GDA Restaurante e Eventos Ltda., aguarda concessão com especificação em "aluguel de salão de festas, decoração de festas e cerimônias" — novamente entretenimento presencial. A marca que merece maior atenção é "Nova Amsterdam" (processo 941.478.220), da Resenha Rentável Ltda., aguardando exame de mérito com especificação que inclui "agência de modelos para artistas" — há afinidade leve com o universo criativo do marketing digital, embora a especificação se concentre em entretenimento e não em produção de conteúdo para fins publicitários. As marcas do Comitê Olímpico e do Museu Van Gogh, presentes também nesta classe, são marcas compostas de complexidade tal que o elemento "Amsterdam" funciona como indicador geográfico acessório, sem risco de confusão. O processo 917.012.640, "Amsterdam" isolado na Classe 41, foi indeferido pelo INPI por reproduzir registros anteriores — jurisprudência que confirma a necessidade de especificação precisa para obter registro nesta classe. Os processos 819.284.670 e 840.256.540 ("AMSTERDAM" e "AMSTERDAM PUB") encontram-se arquivados, e o processo 912.621.877, "amsterdam – assessoria / eventos / festas", foi definitivamente arquivado, reforçando que o campo de entretenimento presencial sob o topônimo "Amsterdam" tem alta rotatividade de titulares sem consolidação de exclusividade.</w:t>
      </w:r>
    </w:p>
    <w:p>
      <w:pPr>
        <w:spacing w:after="240" w:line="360" w:lineRule="auto"/>
        <w:ind w:firstLine="1701"/>
        <w:jc w:val="both"/>
      </w:pPr>
      <w:r>
        <w:rPr>
          <w:rFonts w:ascii="Sora" w:hAnsi="Sora" w:eastAsia="Sora" w:cs="Sora"/>
          <w:b w:val="0"/>
          <w:caps w:val="0"/>
          <w:color w:val="595959"/>
          <w:sz w:val="24"/>
          <w:u w:val="none"/>
        </w:rPr>
        <w:t>Na Classe 38, a investigação identificou apenas 3 processos, todos em situação de arquivamento ou extinção. Não há nenhuma anterioridade viva que reproduza ou imite o sinal "Amsterdam" nesta classe, configurando campo inteiramente livre para registro em serviços de telecomunicação e transmissão digital.</w:t>
      </w:r>
    </w:p>
    <w:p>
      <w:pPr>
        <w:spacing w:after="240" w:line="360" w:lineRule="auto"/>
        <w:ind w:firstLine="1701"/>
        <w:jc w:val="both"/>
      </w:pPr>
      <w:r>
        <w:rPr>
          <w:rFonts w:ascii="Sora" w:hAnsi="Sora" w:eastAsia="Sora" w:cs="Sora"/>
          <w:b w:val="0"/>
          <w:caps w:val="0"/>
          <w:color w:val="595959"/>
          <w:sz w:val="24"/>
          <w:u w:val="none"/>
        </w:rPr>
        <w:t>O veredito de viabilidade para o registro da marca "Amsterdam" é PROVÁVEL nas quatro classes analisadas, com gradação de confiança por classe. Nas Classes 42 e 38, a viabilidade é MUITO PROVÁVEL — campo livre, sem anterioridades vivas, com precedentes de registros anteriores do mesmo sinal que validam a aceitação pelo INPI. Na Classe 41, a viabilidade é PROVÁVEL — as anterioridades vivas concentram-se em entretenimento presencial e gastronômico, sem afinidade com produção de conteúdo digital, sendo recomendável redigir a especificação de forma precisa e concentrada em produção audiovisual, editoração e publicação digital, evitando sobreposição com entretenimento presencial. Na Classe 35, a viabilidade é PROVÁVEL COM RESSALVA — a anterioridade "AMSTERDAM" da Amsterdam Motel Ltda. (processo 937.025.984) ainda aguarda exame de mérito na mesma classe, porém sua especificação restrita a gestão hoteleira não apresenta afinidade com marketing digital; a marca "GREEN HOUSE AMSTERDAM" (processo 936.774.983) também aguarda exame com especificação mais ampla, mas o conjunto marcário distinto e o segmento real de atuação (cannabis) afastam o risco de confusão. A estratégia recomendada é depositar simultaneamente nas quatro classes com especificações cuidadosamente delimitadas ao universo do marketing digital, monitorar o andamento dos processos 937.025.984 e 936.774.983 na Classe 35, e manter dossiê preparado com fundamentação na Tese da Especialidade e nos precedentes de convivência identificados nesta análise para eventual manifestação em caso de exigência ou oposição.</w:t>
      </w:r>
    </w:p>
    <w:p>
      <w:pPr>
        <w:spacing w:before="720"/>
        <w:jc w:val="right"/>
      </w:pPr>
      <w:r>
        <w:rPr>
          <w:rFonts w:ascii="Sora" w:hAnsi="Sora" w:eastAsia="Sora" w:cs="Sora"/>
          <w:b w:val="0"/>
          <w:caps w:val="0"/>
          <w:color w:val="595959"/>
          <w:sz w:val="24"/>
          <w:u w:val="none"/>
        </w:rPr>
        <w:t>É o parecer.</w:t>
        <w:br/>
        <w:t>15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Equipe Amsterdam</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