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“Amsterdam”,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o desenvolvimento de serviços de marketing digital, englobando gestão de campanhas, produção de conteúdo, tráfego pago, criação de identidade visual e estratégias de presença digital para terceiros.</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Publicidade; propaganda; marketing; publicidade on-line em rede de computadores; estudos de marketing; pesquisa de marketing; relações públicas; serviços de agências de publicidade; promoção de vendas para terceiros; desenvolvimento de conceitos de campanha publicitária; marketing direcionado; otimização de ferramenta de busca para fins de promoção de vendas; publicidade pay-per-click; serviços de geração de leads; marketing por influenciadores; consultoria referente a estratégias de comunicação em publicidade; desenvolvimento de conceitos de marketing; serviços publicitários para criar a identidade da marca para terceiros; redação de textos publicitários; serviços de layout para fins publicitários; promoção de produtos por meio de influenciadores.</w:t>
      </w:r>
    </w:p>
    <w:p>
      <w:pPr>
        <w:spacing w:after="240" w:line="360" w:lineRule="auto"/>
        <w:ind w:firstLine="1701"/>
        <w:jc w:val="both"/>
      </w:pPr>
      <w:r>
        <w:rPr>
          <w:rFonts w:ascii="Sora" w:hAnsi="Sora" w:eastAsia="Sora" w:cs="Sora"/>
          <w:b w:val="0"/>
          <w:caps w:val="0"/>
          <w:color w:val="595959"/>
          <w:sz w:val="24"/>
          <w:u w:val="none"/>
        </w:rPr>
        <w:t>A Classe 35 constitui o núcleo jurídico irredutível do portfólio registral de uma agência de marketing digital. É nela que residem, de forma expressa e específica, os serviços de publicidade, propaganda, marketing e gestão de campanhas — o que representa, em essência, a atividade-fim da empresa. O registro nesta classe assegura à Equipe Amsterdam a exclusividade de exploração da marca AMSTERDAM no segmento de agenciamento publicitário e prestação de serviços de marketing em sentido amplo, blindando-a contra o surgimento de concorrentes diretos que possam se valer da mesma denominação para capturar clientela no mesmo mercado.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42 (muito recomendável)</w:t>
      </w:r>
      <w:r>
        <w:rPr>
          <w:rFonts w:ascii="Sora" w:hAnsi="Sora" w:eastAsia="Sora" w:cs="Sora"/>
          <w:b w:val="0"/>
          <w:caps w:val="0"/>
          <w:color w:val="595959"/>
          <w:sz w:val="24"/>
          <w:u w:val="none"/>
        </w:rPr>
        <w:t xml:space="preserve"> – Criação e manutenção de websites para terceiros; hospedagem de websites; design gráfico de material promocional; serviços de criação em artes gráficas; consultoria em design de websites; serviços de desenhos de logomarcas e assinaturas visuais; elaboração de software de computador; fornecimento de mecanismos de busca para a internet; software como serviço; consultoria tecnológica.</w:t>
      </w:r>
    </w:p>
    <w:p>
      <w:pPr>
        <w:spacing w:after="240" w:line="360" w:lineRule="auto"/>
        <w:ind w:firstLine="1701"/>
        <w:jc w:val="both"/>
      </w:pPr>
      <w:r>
        <w:rPr>
          <w:rFonts w:ascii="Sora" w:hAnsi="Sora" w:eastAsia="Sora" w:cs="Sora"/>
          <w:b w:val="0"/>
          <w:caps w:val="0"/>
          <w:color w:val="595959"/>
          <w:sz w:val="24"/>
          <w:u w:val="none"/>
        </w:rPr>
        <w:t>A componente tecnológica é inseparável da prática contemporânea do marketing digital. Agências do setor frequentemente oferecem — ou subcontratam — serviços de criação e manutenção de websites, desenvolvimento de identidade visual, design gráfico e consultoria em plataformas digitais. A Classe 42 protege especificamente essa camada técnica e criativa da operação, garantindo que o nome AMSTERDAM não possa ser explorado por concorrentes que atuem na interface entre comunicação e tecnologia. A proteção combinada entre as Classes 35 e 42 constitui o padrão recomendado para agências de marketing digital de qualquer porte.</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38 (recomendável)</w:t>
      </w:r>
      <w:r>
        <w:rPr>
          <w:rFonts w:ascii="Sora" w:hAnsi="Sora" w:eastAsia="Sora" w:cs="Sora"/>
          <w:b w:val="0"/>
          <w:caps w:val="0"/>
          <w:color w:val="595959"/>
          <w:sz w:val="24"/>
          <w:u w:val="none"/>
        </w:rPr>
        <w:t xml:space="preserve"> – Transmissão de arquivos digitais; transmissão de podcasts; streaming de dados; provimento de acesso à rede global de computadores; transmissão de mensagens e de imagens por meio de computador; provimento de fóruns on-line.</w:t>
      </w:r>
    </w:p>
    <w:p>
      <w:pPr>
        <w:spacing w:after="240" w:line="360" w:lineRule="auto"/>
        <w:ind w:firstLine="1701"/>
        <w:jc w:val="both"/>
      </w:pPr>
      <w:r>
        <w:rPr>
          <w:rFonts w:ascii="Sora" w:hAnsi="Sora" w:eastAsia="Sora" w:cs="Sora"/>
          <w:b w:val="0"/>
          <w:caps w:val="0"/>
          <w:color w:val="595959"/>
          <w:sz w:val="24"/>
          <w:u w:val="none"/>
        </w:rPr>
        <w:t>A Classe 38, embora de natureza mais periférica em relação à atividade-fim da agência, guarda sinergia relevante com as estratégias de conteúdo e distribuição digital que compõem o repertório moderno do marketing. Agências que produzem e distribuem podcasts, transmissões ao vivo, conteúdo em streaming ou gerenciam canais de comunicação digital para clientes tocam, ainda que de forma instrumental, os serviços cobertos por esta classe. O registro preventivo em Classe 38 amplia o escudo registral da marca AMSTERDAM, dificultando que terceiros utilizem o mesmo sinal em atividades de telecomunicação e comunicação digital que possam se confundir com a prestação de serviços da agência.</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 xml:space="preserve">O sinal marcário AMSTERDAM consiste no topônimo da capital do Reino dos Países Baixos, transplantado para o campo dos serviços de marketing digital. Sob o prisma da </w:t>
      </w:r>
      <w:r>
        <w:rPr>
          <w:rFonts w:ascii="Sora" w:hAnsi="Sora" w:eastAsia="Sora" w:cs="Sora"/>
          <w:b/>
          <w:caps w:val="0"/>
          <w:color w:val="595959"/>
          <w:sz w:val="24"/>
          <w:u w:val="none"/>
        </w:rPr>
        <w:t>VERACIDADE</w:t>
      </w:r>
      <w:r>
        <w:rPr>
          <w:rFonts w:ascii="Sora" w:hAnsi="Sora" w:eastAsia="Sora" w:cs="Sora"/>
          <w:b w:val="0"/>
          <w:caps w:val="0"/>
          <w:color w:val="595959"/>
          <w:sz w:val="24"/>
          <w:u w:val="none"/>
        </w:rPr>
        <w:t>, o termo não representa qualquer risco de indução de erro ao consumidor: a marca não afirma, sugere nem implica que os serviços são originários da cidade homônima, que possuem qualidade intrínseca de procedência holandesa ou que guardam qualquer vínculo geográfico com aquele território. A jurisprudência consolidada do Instituto Nacional da Propriedade Industrial reconhece que topônimos estrangeiros, quando aplicados a serviços sem relação com o local designado, perdem sua conotação indicativa de procedência e passam a funcionar como elemento de fantasia nominativa. O consumidor brasileiro médio, ao se deparar com uma agência de marketing denominada AMSTERDAM, não inferirá que seus serviços emanam dos Países Baixos — compreenderá a denominação como escolha estética e identitária, à semelhança do que ocorre com inúmeras marcas de prestígio que adotam nomes geográficos estrangeiros sem qualquer vínculo funcional com o local.</w:t>
      </w:r>
    </w:p>
    <w:p>
      <w:pPr>
        <w:spacing w:after="240" w:line="360" w:lineRule="auto"/>
        <w:ind w:firstLine="1701"/>
        <w:jc w:val="both"/>
      </w:pPr>
      <w:r>
        <w:rPr>
          <w:rFonts w:ascii="Sora" w:hAnsi="Sora" w:eastAsia="Sora" w:cs="Sora"/>
          <w:b w:val="0"/>
          <w:caps w:val="0"/>
          <w:color w:val="595959"/>
          <w:sz w:val="24"/>
          <w:u w:val="none"/>
        </w:rPr>
        <w:t xml:space="preserve">No que tange à </w:t>
      </w:r>
      <w:r>
        <w:rPr>
          <w:rFonts w:ascii="Sora" w:hAnsi="Sora" w:eastAsia="Sora" w:cs="Sora"/>
          <w:b/>
          <w:caps w:val="0"/>
          <w:color w:val="595959"/>
          <w:sz w:val="24"/>
          <w:u w:val="none"/>
        </w:rPr>
        <w:t>LICEIDADE</w:t>
      </w:r>
      <w:r>
        <w:rPr>
          <w:rFonts w:ascii="Sora" w:hAnsi="Sora" w:eastAsia="Sora" w:cs="Sora"/>
          <w:b w:val="0"/>
          <w:caps w:val="0"/>
          <w:color w:val="595959"/>
          <w:sz w:val="24"/>
          <w:u w:val="none"/>
        </w:rPr>
        <w:t>, o termo AMSTERDAM não se enquadra em nenhuma das hipóteses de irregistrabilidade elencadas no artigo 124 da Lei n.º 9.279/1996. O sinal não reproduz brasões, armas, medalhas ou insígnias oficiais; não contém expressões contrárias à moral, aos bons costumes ou à ordem pública; não constitui denominação técnica necessária ao serviço prestado; e tampouco reproduz ou imita nome de pessoa física ou personalidade notória sem autorização. O risco topográfico aventado pelo inciso IX do dispositivo legal — que veda indicações geográficas enganosas — não se materializa no caso em apreço, eis que os serviços de marketing digital não integram nenhum setor regulado por denominação de origem ou indicação geográfica vinculada à Holanda ou à cidade de Amsterdam. O sinal, portanto, supera o crivo da LICEIDADE sem qualquer ressalva.</w:t>
      </w:r>
    </w:p>
    <w:p>
      <w:pPr>
        <w:spacing w:after="240" w:line="360" w:lineRule="auto"/>
        <w:ind w:firstLine="1701"/>
        <w:jc w:val="both"/>
      </w:pPr>
      <w:r>
        <w:rPr>
          <w:rFonts w:ascii="Sora" w:hAnsi="Sora" w:eastAsia="Sora" w:cs="Sora"/>
          <w:b w:val="0"/>
          <w:caps w:val="0"/>
          <w:color w:val="595959"/>
          <w:sz w:val="24"/>
          <w:u w:val="none"/>
        </w:rPr>
        <w:t xml:space="preserve">A análise de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revela o principal ativo jurídico da marca. O sinal AMSTERDAM, ao ser aplicado ao segmento de marketing digital, enquadra-se com precisão na categoria dos sinais </w:t>
      </w:r>
      <w:r>
        <w:rPr>
          <w:rFonts w:ascii="Sora" w:hAnsi="Sora" w:eastAsia="Sora" w:cs="Sora"/>
          <w:b/>
          <w:caps w:val="0"/>
          <w:color w:val="595959"/>
          <w:sz w:val="24"/>
          <w:u w:val="none"/>
        </w:rPr>
        <w:t>ARBITRÁRIOS</w:t>
      </w:r>
      <w:r>
        <w:rPr>
          <w:rFonts w:ascii="Sora" w:hAnsi="Sora" w:eastAsia="Sora" w:cs="Sora"/>
          <w:b w:val="0"/>
          <w:caps w:val="0"/>
          <w:color w:val="595959"/>
          <w:sz w:val="24"/>
          <w:u w:val="none"/>
        </w:rPr>
        <w:t xml:space="preserve"> — aquela segunda categoria da escala valorativa do INPI, correspondente a termos com significado próprio no vocabulário comum, mas desprovidos de qualquer relação semântica, evocativa ou descritiva com os serviços que pretendem identificar. Computadores, estratégias de tráfego pago, gestão de redes sociais, criação de conteúdo digital — nenhum desses elementos encontra correspondência no universo semiótico do topônimo holandês. Essa ausência de nexo é precisamente o que confere à marca sua robustez registral: o INPI, ao apreciar o pedido, não encontrará justificativa para enquadrá-la como descritiva ou evocativa do serviço, e tampouco como fraca pelo uso excessivo do termo no setor. A força arbitrária do sinal traduz-se em alto potencial de exclusividade, tornando AMSTERDAM um ativo valioso para o posicionamento da agência no mercado.</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varredura da base de dados do INPI nas Classes 35, 42 e 38, tendo como vetor de busca o sinal nominativo AMSTERDAM, revelou um campo marcário de densidade surpreendentemente reduzida para um topônimo de tamanha envergadura no imaginário ocidental. O universo de anterioridades localizadas restringe-se a dois pedidos de registro — ambos circunscritos a segmentos radicalmente distintos dos serviços de marketing digital ora pretendidos — o que, por si só, sinaliza favorável a viabilidade do depósito e a inexistência de concorrência direta no terreno marcário mais relevante para a atividade da Equipe Amsterdam.</w:t>
      </w:r>
    </w:p>
    <w:p>
      <w:pPr>
        <w:spacing w:after="240" w:line="360" w:lineRule="auto"/>
        <w:ind w:firstLine="1701"/>
        <w:jc w:val="both"/>
      </w:pPr>
      <w:r>
        <w:rPr>
          <w:rFonts w:ascii="Sora" w:hAnsi="Sora" w:eastAsia="Sora" w:cs="Sora"/>
          <w:b w:val="0"/>
          <w:caps w:val="0"/>
          <w:color w:val="595959"/>
          <w:sz w:val="24"/>
          <w:u w:val="none"/>
        </w:rPr>
        <w:t xml:space="preserve">O primeiro registro que merece análise é o processo </w:t>
      </w:r>
      <w:r>
        <w:rPr>
          <w:rFonts w:ascii="Sora" w:hAnsi="Sora" w:eastAsia="Sora" w:cs="Sora"/>
          <w:b/>
          <w:caps w:val="0"/>
          <w:color w:val="595959"/>
          <w:sz w:val="24"/>
          <w:u w:val="none"/>
        </w:rPr>
        <w:t>937025984</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AMSTERDAM MOTEL LTDA - ME</w:t>
      </w:r>
      <w:r>
        <w:rPr>
          <w:rFonts w:ascii="Sora" w:hAnsi="Sora" w:eastAsia="Sora" w:cs="Sora"/>
          <w:b w:val="0"/>
          <w:caps w:val="0"/>
          <w:color w:val="595959"/>
          <w:sz w:val="24"/>
          <w:u w:val="none"/>
        </w:rPr>
        <w:t xml:space="preserve">, depositado em 14 de novembro de 2024 e atualmente em fase de aguardo de exame de mérito perante o INPI. O pedido, de natureza nominativa, foi formulado na Classe 35 da NCL(12), com especificação integralmente voltada a "negócios de gestão hoteleira". A análise da colidência exige que se confronte, com rigor, a especificação pretendida pelo colidente com a atividade da agência de marketing: de um lado, serviços de hospedagem e administração de empreendimento hoteleiro; de outro, publicidade, gestão de campanhas digitais, tráfego pago e criação de identidade visual para terceiros. A distância mercadológica entre esses dois universos é absoluta — o público-alvo não se sobrepõe, os canais de distribuição são incompatíveis e a natureza dos serviços não guarda qualquer relação de afinidade. Aplicando-se a Tese da Especialidade, que orienta a jurisprudência do INPI no reconhecimento da viabilidade de coexistência entre marcas idênticas em classes com especificações inconfundíveis, o risco de confusão ou associação na mente do consumidor é nulo. Ademais, o fato de o pedido estar aguardando exame de mérito — sem qualquer status de concessão — fragiliza ainda mais a posição do colidente, que não detém exclusividade consolidada sobre o sinal. O risco decorrente deste processo é classificado como </w:t>
      </w:r>
      <w:r>
        <w:rPr>
          <w:rFonts w:ascii="Sora" w:hAnsi="Sora" w:eastAsia="Sora" w:cs="Sora"/>
          <w:b/>
          <w:caps w:val="0"/>
          <w:color w:val="595959"/>
          <w:sz w:val="24"/>
          <w:u w:val="none"/>
        </w:rPr>
        <w:t>BAIXO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O segundo pedido identificado, processo </w:t>
      </w:r>
      <w:r>
        <w:rPr>
          <w:rFonts w:ascii="Sora" w:hAnsi="Sora" w:eastAsia="Sora" w:cs="Sora"/>
          <w:b/>
          <w:caps w:val="0"/>
          <w:color w:val="595959"/>
          <w:sz w:val="24"/>
          <w:u w:val="none"/>
        </w:rPr>
        <w:t>913771767</w:t>
      </w:r>
      <w:r>
        <w:rPr>
          <w:rFonts w:ascii="Sora" w:hAnsi="Sora" w:eastAsia="Sora" w:cs="Sora"/>
          <w:b w:val="0"/>
          <w:caps w:val="0"/>
          <w:color w:val="595959"/>
          <w:sz w:val="24"/>
          <w:u w:val="none"/>
        </w:rPr>
        <w:t xml:space="preserve">, de titularidade de </w:t>
      </w:r>
      <w:r>
        <w:rPr>
          <w:rFonts w:ascii="Sora" w:hAnsi="Sora" w:eastAsia="Sora" w:cs="Sora"/>
          <w:b/>
          <w:caps w:val="0"/>
          <w:color w:val="595959"/>
          <w:sz w:val="24"/>
          <w:u w:val="none"/>
        </w:rPr>
        <w:t>GUILHERME MELO PORCARO PESSO</w:t>
      </w:r>
      <w:r>
        <w:rPr>
          <w:rFonts w:ascii="Sora" w:hAnsi="Sora" w:eastAsia="Sora" w:cs="Sora"/>
          <w:b w:val="0"/>
          <w:caps w:val="0"/>
          <w:color w:val="595959"/>
          <w:sz w:val="24"/>
          <w:u w:val="none"/>
        </w:rPr>
        <w:t xml:space="preserve">, apresenta uma circunstância que, paradoxalmente, opera em favor da Equipe Amsterdam: o pedido foi </w:t>
      </w:r>
      <w:r>
        <w:rPr>
          <w:rFonts w:ascii="Sora" w:hAnsi="Sora" w:eastAsia="Sora" w:cs="Sora"/>
          <w:b/>
          <w:caps w:val="0"/>
          <w:color w:val="595959"/>
          <w:sz w:val="24"/>
          <w:u w:val="none"/>
        </w:rPr>
        <w:t>indeferido</w:t>
      </w:r>
      <w:r>
        <w:rPr>
          <w:rFonts w:ascii="Sora" w:hAnsi="Sora" w:eastAsia="Sora" w:cs="Sora"/>
          <w:b w:val="0"/>
          <w:caps w:val="0"/>
          <w:color w:val="595959"/>
          <w:sz w:val="24"/>
          <w:u w:val="none"/>
        </w:rPr>
        <w:t xml:space="preserve"> pelo INPI em 4 de dezembro de 2018, sem interposição de recurso, por ter incidido em colisão com registros anteriores identificados como Processo 901706035 (</w:t>
      </w:r>
      <w:r>
        <w:rPr>
          <w:rFonts w:ascii="Sora" w:hAnsi="Sora" w:eastAsia="Sora" w:cs="Sora"/>
          <w:b/>
          <w:caps w:val="0"/>
          <w:color w:val="595959"/>
          <w:sz w:val="24"/>
          <w:u w:val="none"/>
        </w:rPr>
        <w:t>AMSTERDAM</w:t>
      </w:r>
      <w:r>
        <w:rPr>
          <w:rFonts w:ascii="Sora" w:hAnsi="Sora" w:eastAsia="Sora" w:cs="Sora"/>
          <w:b w:val="0"/>
          <w:caps w:val="0"/>
          <w:color w:val="595959"/>
          <w:sz w:val="24"/>
          <w:u w:val="none"/>
        </w:rPr>
        <w:t>) e Processo 828205132 (</w:t>
      </w:r>
      <w:r>
        <w:rPr>
          <w:rFonts w:ascii="Sora" w:hAnsi="Sora" w:eastAsia="Sora" w:cs="Sora"/>
          <w:b/>
          <w:caps w:val="0"/>
          <w:color w:val="595959"/>
          <w:sz w:val="24"/>
          <w:u w:val="none"/>
        </w:rPr>
        <w:t>AMSTERDAM SAUER</w:t>
      </w:r>
      <w:r>
        <w:rPr>
          <w:rFonts w:ascii="Sora" w:hAnsi="Sora" w:eastAsia="Sora" w:cs="Sora"/>
          <w:b w:val="0"/>
          <w:caps w:val="0"/>
          <w:color w:val="595959"/>
          <w:sz w:val="24"/>
          <w:u w:val="none"/>
        </w:rPr>
        <w:t xml:space="preserve">). A especificação pretendida pelo titular indeferido cobria exclusivamente o comércio de bijuteria, chapelaria, artigos do vestuário, couro e produtos têxteis na Classe 35 — mercado da moda e varejo de acessórios, sem qualquer toque no segmento de comunicação e marketing digital. O interesse jurídico desta anterioridade para a análise presente é duplo: primeiro, confirma que o INPI já possui registros anteriores da denominação AMSTERDAM vinculados ao universo da joalheria e moda (indicando coexistência setorial histórica do topônimo em diferentes segmentos); segundo, demonstra que o indeferimento se deu por conflito intra-segmento — moda versus moda — jamais por conflito com serviços de natureza publicitária ou tecnológica. O sinal AMSTERDAM, portanto, não ostenta caráter registral absoluto que impeça novos pedidos em campos de atuação distintos. O risco oriundo deste pedido é inexistente, dado seu status de </w:t>
      </w:r>
      <w:r>
        <w:rPr>
          <w:rFonts w:ascii="Sora" w:hAnsi="Sora" w:eastAsia="Sora" w:cs="Sora"/>
          <w:b/>
          <w:caps w:val="0"/>
          <w:color w:val="595959"/>
          <w:sz w:val="24"/>
          <w:u w:val="none"/>
        </w:rPr>
        <w:t>INDEFERIDO sem recurso</w:t>
      </w:r>
      <w:r>
        <w:rPr>
          <w:rFonts w:ascii="Sora" w:hAnsi="Sora" w:eastAsia="Sora" w:cs="Sora"/>
          <w:b w:val="0"/>
          <w:caps w:val="0"/>
          <w:color w:val="595959"/>
          <w:sz w:val="24"/>
          <w:u w:val="none"/>
        </w:rPr>
        <w:t>.</w:t>
      </w:r>
    </w:p>
    <w:p>
      <w:pPr>
        <w:spacing w:after="240" w:line="360" w:lineRule="auto"/>
        <w:ind w:firstLine="1701"/>
        <w:jc w:val="both"/>
      </w:pPr>
      <w:r>
        <w:rPr>
          <w:rFonts w:ascii="Sora" w:hAnsi="Sora" w:eastAsia="Sora" w:cs="Sora"/>
          <w:b w:val="0"/>
          <w:caps w:val="0"/>
          <w:color w:val="595959"/>
          <w:sz w:val="24"/>
          <w:u w:val="none"/>
        </w:rPr>
        <w:t xml:space="preserve">A menção, no despacho de indeferimento do processo 913771767, aos registros 901706035 e 828205132 — ambos aparentemente vinculados à marca </w:t>
      </w:r>
      <w:r>
        <w:rPr>
          <w:rFonts w:ascii="Sora" w:hAnsi="Sora" w:eastAsia="Sora" w:cs="Sora"/>
          <w:b/>
          <w:caps w:val="0"/>
          <w:color w:val="595959"/>
          <w:sz w:val="24"/>
          <w:u w:val="none"/>
        </w:rPr>
        <w:t>AMSTERDAM SAUER</w:t>
      </w:r>
      <w:r>
        <w:rPr>
          <w:rFonts w:ascii="Sora" w:hAnsi="Sora" w:eastAsia="Sora" w:cs="Sora"/>
          <w:b w:val="0"/>
          <w:caps w:val="0"/>
          <w:color w:val="595959"/>
          <w:sz w:val="24"/>
          <w:u w:val="none"/>
        </w:rPr>
        <w:t>, a célebre joalheria brasileira — merece atenção estratégica, ainda que esses processos não tenham aparecido diretamente na busca pelas classes de marketing digital. A Amsterdam Sauer opera no segmento de joias e alta relojoaria, consolidando sua marca no universo do luxo e varejo físico premium. A distância setorial entre joalheria e agência de marketing digital é ainda mais pronunciada do que aquela verificada em relação à Amsterdam Motel: não há sobreposição de público, de canal, de natureza do serviço nem de contexto de uso. O princípio da Tese da Especialidade e a análise do público-alvo diferenciado afastam qualquer risco de confusão relevante. Complementarmente, a postura histórica do INPI de permitir o convívio de marcas idênticas em segmentos distintos — conforme exemplificado pela própria trajetória da denominação AMSTERDAM na base — serve de precedente favorável à tese da coexistência.</w:t>
      </w:r>
    </w:p>
    <w:p>
      <w:pPr>
        <w:spacing w:after="240" w:line="360" w:lineRule="auto"/>
        <w:ind w:firstLine="1701"/>
        <w:jc w:val="both"/>
      </w:pPr>
      <w:r>
        <w:rPr>
          <w:rFonts w:ascii="Sora" w:hAnsi="Sora" w:eastAsia="Sora" w:cs="Sora"/>
          <w:b w:val="0"/>
          <w:caps w:val="0"/>
          <w:color w:val="595959"/>
          <w:sz w:val="24"/>
          <w:u w:val="none"/>
        </w:rPr>
        <w:t xml:space="preserve">Diante do exposto, a viabilidade de registro da marca AMSTERDAM para uma agência de marketing digital é avaliada como </w:t>
      </w:r>
      <w:r>
        <w:rPr>
          <w:rFonts w:ascii="Sora" w:hAnsi="Sora" w:eastAsia="Sora" w:cs="Sora"/>
          <w:b/>
          <w:caps w:val="0"/>
          <w:color w:val="595959"/>
          <w:sz w:val="24"/>
          <w:u w:val="none"/>
        </w:rPr>
        <w:t>PROVÁVEL</w:t>
      </w:r>
      <w:r>
        <w:rPr>
          <w:rFonts w:ascii="Sora" w:hAnsi="Sora" w:eastAsia="Sora" w:cs="Sora"/>
          <w:b w:val="0"/>
          <w:caps w:val="0"/>
          <w:color w:val="595959"/>
          <w:sz w:val="24"/>
          <w:u w:val="none"/>
        </w:rPr>
        <w:t>. O campo marcário nas Classes 35, 42 e 38, recortado pelas especificações específicas de serviços de publicidade e comunicação digital, encontra-se praticamente intocado por anterioridades diretas, o que confere à Equipe Amsterdam uma janela de oportunidade registral favorável. Recomenda-se o depósito imediato nas três classes indicadas, com especificações técnicas precisas que delimitem o escopo dos serviços de marketing digital e afastem qualquer interpretação extensiva que possa conflitar com os registros existentes nos segmentos de hotelaria e joalheria. Do ponto de vista da identidade visual, a estratégia de diferenciação deve investir em uma estética contemporânea, tecnológica e minimalista — distanciando-se ativamente do universo visual da Amsterdam Sauer, caracterizado pelo luxo e pelo classicismo ornamental. O monitoramento periódico da base do INPI, especialmente do processo 937025984 da Amsterdam Motel, é recomendado para acompanhar eventuais desenvolvimentos que pudessem, em tese, gerar argumentação de coexistência na mesma classe.</w:t>
      </w:r>
    </w:p>
    <w:p>
      <w:pPr>
        <w:spacing w:before="720"/>
        <w:jc w:val="right"/>
      </w:pPr>
      <w:r>
        <w:rPr>
          <w:rFonts w:ascii="Sora" w:hAnsi="Sora" w:eastAsia="Sora" w:cs="Sora"/>
          <w:b w:val="0"/>
          <w:caps w:val="0"/>
          <w:color w:val="595959"/>
          <w:sz w:val="24"/>
          <w:u w:val="none"/>
        </w:rPr>
        <w:t>É o parecer.</w:t>
        <w:br/>
        <w:t>27 de fevereiro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Equipe Amsterdam</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