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“Jimmy Steenmeijer Advocacia”,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advocacia e trabalhos jurídicos.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45 (muito recomendável)</w:t>
      </w:r>
      <w:r>
        <w:rPr>
          <w:rFonts w:ascii="Sora" w:hAnsi="Sora" w:eastAsia="Sora" w:cs="Sora"/>
          <w:b w:val="0"/>
          <w:caps w:val="0"/>
          <w:color w:val="595959"/>
          <w:sz w:val="24"/>
          <w:u w:val="none"/>
        </w:rPr>
        <w:t xml:space="preserve"> – Serviços jurídicos; mediação [serviços jurídicos]; serviços de arbitragem; consultoria em propriedade intelectual; pesquisas jurídicas; serviços de preparação de documentos jurídicos; serviços jurídicos relacionados a licenças; serviços jurídicos relativos à negociação de contratos para terceiros; serviços de monitoramento jurídico; aconselhamento jurídico para responder a licitações; serviços extrajudiciais de resolução de disputas; redação jurídica; serviços jurídicos em matéria de imigração; auditoria para fins de conformidade jurídica [compliance jurídico]; gestão de direitos autorais; licenciamento de propriedade intelectual; consultoria jurídica relativa a mapeamento de patentes; serviços de legal advocacy [serviços jurídicos para suporte a causas de cunho social].</w:t>
      </w:r>
    </w:p>
    <w:p>
      <w:pPr>
        <w:spacing w:after="240" w:line="360" w:lineRule="auto"/>
        <w:ind w:firstLine="1701"/>
        <w:jc w:val="both"/>
      </w:pPr>
      <w:r>
        <w:rPr>
          <w:rFonts w:ascii="Sora" w:hAnsi="Sora" w:eastAsia="Sora" w:cs="Sora"/>
          <w:b w:val="0"/>
          <w:caps w:val="0"/>
          <w:color w:val="595959"/>
          <w:sz w:val="24"/>
          <w:u w:val="none"/>
        </w:rPr>
        <w:t>A Classe 45 constitui o núcleo essencial e inegociável da proteção marcária para um escritório de advocacia. Abrange a totalidade dos serviços jurídicos que compõem a atividade-fim do profissional ou da sociedade de advogados: desde a consultoria e assessoria jurídica até a representação judicial e extrajudicial, mediação, arbitragem e preparação de documentos legais. Sem esta classe, a marca ficaria desprotegida exatamente no segmento em que opera, permitindo que terceiros registrassem sinal idêntico ou semelhante para a mesma atividade. A amplitude das especificações sugeridas visa cobrir tanto a advocacia contenciosa quanto a consultiva, incluindo áreas especializadas como propriedade intelectual, compliance e imigração, garantindo blindagem registral abrangente para a diversidade de atuação que um escritório de advocacia pode desenvolver ao longo do tempo.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(muito recomendável)</w:t>
      </w:r>
      <w:r>
        <w:rPr>
          <w:rFonts w:ascii="Sora" w:hAnsi="Sora" w:eastAsia="Sora" w:cs="Sora"/>
          <w:b w:val="0"/>
          <w:caps w:val="0"/>
          <w:color w:val="595959"/>
          <w:sz w:val="24"/>
          <w:u w:val="none"/>
        </w:rPr>
        <w:t xml:space="preserve"> – Consultoria em gestão de negócios; consultoria profissional em negócios; assessoria em gestão comercial ou industrial; auxílio em gestão de negócios; negociação de contratos de negócios para terceiros; gestão computadorizada de arquivos; provimento de informações de negócios; compilação de informação em bancos de dados de computador; sistematização de informações em bancos de dados de computador.</w:t>
      </w:r>
    </w:p>
    <w:p>
      <w:pPr>
        <w:spacing w:after="240" w:line="360" w:lineRule="auto"/>
        <w:ind w:firstLine="1701"/>
        <w:jc w:val="both"/>
      </w:pPr>
      <w:r>
        <w:rPr>
          <w:rFonts w:ascii="Sora" w:hAnsi="Sora" w:eastAsia="Sora" w:cs="Sora"/>
          <w:b w:val="0"/>
          <w:caps w:val="0"/>
          <w:color w:val="595959"/>
          <w:sz w:val="24"/>
          <w:u w:val="none"/>
        </w:rPr>
        <w:t>A Classe 35 protege os serviços de consultoria empresarial e gestão de negócios que escritórios de advocacia frequentemente oferecem como extensão natural de sua atuação jurídica. A advocacia empresarial moderna não se limita ao parecer jurídico isolado — envolve assessoria estratégica em operações societárias, fusões e aquisições, reestruturações corporativas e governança, atividades que tangenciam diretamente a gestão de negócios. Adicionalmente, a gestão documental e a organização de informações em bancos de dados são atividades operacionais intrínsecas ao funcionamento de qualquer escritório jurídico. A proteção nesta classe impede que concorrentes utilizem sinal confusamente semelhante para oferecer serviços de consultoria empresarial que poderiam ser confundidos com a assessoria jurídico-empresarial do titular.</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41 (recomendável)</w:t>
      </w:r>
      <w:r>
        <w:rPr>
          <w:rFonts w:ascii="Sora" w:hAnsi="Sora" w:eastAsia="Sora" w:cs="Sora"/>
          <w:b w:val="0"/>
          <w:caps w:val="0"/>
          <w:color w:val="595959"/>
          <w:sz w:val="24"/>
          <w:u w:val="none"/>
        </w:rPr>
        <w:t xml:space="preserve"> – Serviços de ensino; organização e apresentação de seminários; organização e apresentação de conferências; organização e apresentação de colóquios; publicação de textos, exceto para publicidade; publicação on-line de livros e periódicos eletrônicos; provimento de publicações eletrônicas on-line, não baixáveis; orientação [treinamento]; coaching [treinamento]; redação de textos; tradução; organização e realização de conferências empresariais.</w:t>
      </w:r>
    </w:p>
    <w:p>
      <w:pPr>
        <w:spacing w:after="240" w:line="360" w:lineRule="auto"/>
        <w:ind w:firstLine="1701"/>
        <w:jc w:val="both"/>
      </w:pPr>
      <w:r>
        <w:rPr>
          <w:rFonts w:ascii="Sora" w:hAnsi="Sora" w:eastAsia="Sora" w:cs="Sora"/>
          <w:b w:val="0"/>
          <w:caps w:val="0"/>
          <w:color w:val="595959"/>
          <w:sz w:val="24"/>
          <w:u w:val="none"/>
        </w:rPr>
        <w:t>A Classe 41 protege os serviços educacionais e de produção de conteúdo que advogados e escritórios de advocacia exercem com crescente frequência no mercado jurídico contemporâneo. A publicação de artigos doutrinários, a condução de seminários e palestras, o oferecimento de cursos de capacitação jurídica e a produção de conteúdo educacional são atividades que consolidam a autoridade técnica do profissional e constituem fonte de receita e prospecção de clientes. A ausência desta classe deixaria vulnerável toda a dimensão acadêmica e editorial do escritório, permitindo que terceiros registrassem marca idêntica ou similar para atividades de ensino e publicação na área jurídica.</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O sinal marcário "Jimmy Steenmeijer Advocacia" submete-se à análise intrínseca exigida pela Lei 9.279/96 para verificação de registrabilidade perante o INPI. Trata-se de marca composta por nome civil de pessoa natural acrescido de termo designativo da atividade profissional, configuração que demanda exame atento dos três pilares fundamentais da registrabilidade.</w:t>
      </w:r>
    </w:p>
    <w:p>
      <w:pPr>
        <w:spacing w:after="240" w:line="360" w:lineRule="auto"/>
        <w:ind w:firstLine="1701"/>
        <w:jc w:val="both"/>
      </w:pPr>
      <w:r>
        <w:rPr>
          <w:rFonts w:ascii="Sora" w:hAnsi="Sora" w:eastAsia="Sora" w:cs="Sora"/>
          <w:b w:val="0"/>
          <w:caps w:val="0"/>
          <w:color w:val="595959"/>
          <w:sz w:val="24"/>
          <w:u w:val="none"/>
        </w:rPr>
        <w:t>No tocante à VERACIDADE, o sinal "Jimmy Steenmeijer Advocacia" pressupõe que o titular é, efetivamente, profissional da advocacia inscrito nos quadros da Ordem dos Advogados do Brasil. O requisito de VERACIDADE exige que o sinal não induza o consumidor a erro quanto à natureza, qualidade ou procedência do serviço oferecido. Se o requerente é, de fato, advogado regularmente inscrito na OAB e o nome corresponde ao seu nome civil ou nome pelo qual é profissionalmente conhecido, o requisito encontra-se satisfeito. Importa registrar que a indicação "Advocacia" vincula os serviços ao exercício regular da profissão, de modo que eventual cancelamento da inscrição na OAB poderia, em tese, comprometer a VERACIDADE do sinal perante o consumidor. Não obstante, para fins de análise registral, presume-se a regularidade profissional do requerente.</w:t>
      </w:r>
    </w:p>
    <w:p>
      <w:pPr>
        <w:spacing w:after="240" w:line="360" w:lineRule="auto"/>
        <w:ind w:firstLine="1701"/>
        <w:jc w:val="both"/>
      </w:pPr>
      <w:r>
        <w:rPr>
          <w:rFonts w:ascii="Sora" w:hAnsi="Sora" w:eastAsia="Sora" w:cs="Sora"/>
          <w:b w:val="0"/>
          <w:caps w:val="0"/>
          <w:color w:val="595959"/>
          <w:sz w:val="24"/>
          <w:u w:val="none"/>
        </w:rPr>
        <w:t>Quanto à LICEIDADE, a análise exige verificação de que o sinal não incide em nenhuma das proibições absolutas do artigo 124 da LPI. O inciso XV do artigo 124 veda o registro de nome civil ou sua assinatura, nome de família ou patronímico e imagem de terceiros, salvo com consentimento do titular, herdeiros ou sucessores. No caso em apreço, tratando-se de registro pelo próprio titular do nome civil, essa vedação não se aplica — o requerente tem pleno direito de registrar seu próprio nome como marca. O termo "Advocacia", isoladamente, seria irregistrável por ser designação genérica da atividade profissional, enquadrando-se como elemento de uso comum que não pode ser apropriado com exclusividade (artigo 124, VI, da LPI). Contudo, em marca composta, o termo genérico é admitido como elemento acessório, desde que não constitua o cerne distintivo da marca — o que, no caso, é cumprido pelo nome patronímico "Jimmy Steenmeijer". A LICEIDADE, portanto, resta preservada.</w:t>
      </w:r>
    </w:p>
    <w:p>
      <w:pPr>
        <w:spacing w:after="240" w:line="360" w:lineRule="auto"/>
        <w:ind w:firstLine="1701"/>
        <w:jc w:val="both"/>
      </w:pPr>
      <w:r>
        <w:rPr>
          <w:rFonts w:ascii="Sora" w:hAnsi="Sora" w:eastAsia="Sora" w:cs="Sora"/>
          <w:b w:val="0"/>
          <w:caps w:val="0"/>
          <w:color w:val="595959"/>
          <w:sz w:val="24"/>
          <w:u w:val="none"/>
        </w:rPr>
        <w:t>No campo da DISTINTIVIDADE — requisito central desta análise — o sinal "Jimmy Steenmeijer Advocacia" opera como marca composta em que o elemento nominativo principal é o nome patronímico do titular. A classificação quanto ao espectro distintivo recai sobre o EVOCATIVO com tendência ao ARBITRÁRIO: o sobrenome "Steenmeijer", de origem neerlandesa, é incomum no mercado jurídico brasileiro e carrega sonoridade diferenciada que o distancia de termos descritivos ou genéricos. O nome "Jimmy" acrescenta personalização que individualiza o sinal. A combinação "Jimmy Steenmeijer" não descreve, direta ou indiretamente, qualquer atributo dos serviços jurídicos oferecidos — funciona como identificador da origem empresarial dos serviços. O elemento "Advocacia", embora descritivo e de uso comum, opera como indicador setorial que contextualiza a marca sem diluir a força distintiva do nome patronímico. A função distintiva está presente: o consumidor é capaz de identificar a procedência dos serviços jurídicos por meio do sinal, diferenciando-o de outros escritórios de advocacia. O risco principal reside na natureza patronímica da marca — nomes civis como marcas tendem a receber proteção mais restrita do que marcas fantasiosas, limitando-se ao segmento de atuação do titular e não impedindo homônimos em setores diversos. A distintividade, contudo, é suficiente para o registro, especialmente considerando a singularidade do patronímico "Steenmeijer" no contexto brasileiro.</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O terreno marcário para o sinal "Jimmy Steenmeijer Advocacia" revela uma paisagem extraordinariamente favorável: a busca no banco de dados do INPI identificou apenas 2 processos contendo o radical "Jimmy" em todo o acervo de marcas registradas, e nenhum resultado para o patronímico "Steenmeijer" — ausência total de anterioridades que reproduzam ou imitem o conjunto marcário em análise. Essa rarefação de anterioridades era esperada: o elemento distintivo central da marca é o sobrenome "Steenmeijer", de origem neerlandesa, absolutamente incomum no registro marcário brasileiro, o que confere ao sinal uma singularidade que praticamente elimina o risco de colidência fonética, gráfica ou ideológica com anterioridades existentes.</w:t>
      </w:r>
    </w:p>
    <w:p>
      <w:pPr>
        <w:spacing w:after="240" w:line="360" w:lineRule="auto"/>
        <w:ind w:firstLine="1701"/>
        <w:jc w:val="both"/>
      </w:pPr>
      <w:r>
        <w:rPr>
          <w:rFonts w:ascii="Sora" w:hAnsi="Sora" w:eastAsia="Sora" w:cs="Sora"/>
          <w:b w:val="0"/>
          <w:caps w:val="0"/>
          <w:color w:val="595959"/>
          <w:sz w:val="24"/>
          <w:u w:val="none"/>
        </w:rPr>
        <w:t>O processo 800.070.771, marca "PATTY &amp; JIMMY", encontra-se em vigor na Classe 26 (armarinhos, rendas, bordados, botões, fechos), de titularidade da SANRIO COMPANY, LIMITED — a conhecida empresa japonesa de personagens. O sinal "PATTY &amp; JIMMY" designa personagens ficcionais da marca Sanrio e opera em universo mercadológico absolutamente distinto dos serviços jurídicos. A colidência é inexistente por múltiplos fundamentos convergentes: primeiro, a reprodução é apenas parcial, limitada ao prenome "Jimmy" dentro de uma expressão composta com elemento adicional "PATTY &amp;", o que altera substancialmente a impressão de conjunto; segundo, a Classe 26 (produtos de armarinho) não guarda qualquer afinidade, complementaridade ou relação de consumo com as Classes 45, 35 ou 41 pretendidas; terceiro, o público consumidor de artigos de armarinho não se confunde com o público que busca serviços de advocacia; quarto, o contexto marcário — personagem de animação japonesa versus escritório de advocacia — elimina qualquer possibilidade de associação indevida pelo consumidor médio. A Tese da Especialidade sustenta com amplitude a convivência pacífica entre ambos os sinais.</w:t>
      </w:r>
    </w:p>
    <w:p>
      <w:pPr>
        <w:spacing w:after="240" w:line="360" w:lineRule="auto"/>
        <w:ind w:firstLine="1701"/>
        <w:jc w:val="both"/>
      </w:pPr>
      <w:r>
        <w:rPr>
          <w:rFonts w:ascii="Sora" w:hAnsi="Sora" w:eastAsia="Sora" w:cs="Sora"/>
          <w:b w:val="0"/>
          <w:caps w:val="0"/>
          <w:color w:val="595959"/>
          <w:sz w:val="24"/>
          <w:u w:val="none"/>
        </w:rPr>
        <w:t>O processo 811.617.750, marca "JIMMY" isolada, encontra-se extinto desde 1996, tendo pertencido à CIPLAST INTERAMERICANA DE PLASTICOS S.A. na antiga Classe Nacional 16 (livros, álbuns, impressos). A extinção do registro elimina qualquer óbice registral: marcas extintas não constituem anterioridade oponível ao exame de mérito de novos pedidos, conforme pacífico entendimento administrativo do INPI. Ainda que o registro estivesse vigente, a análise de colidência seria igualmente favorável, dado que o sinal "JIMMY" isolado difere substancialmente do conjunto "Jimmy Steenmeijer Advocacia" e operava em classe de produtos sem qualquer relação com serviços jurídicos.</w:t>
      </w:r>
    </w:p>
    <w:p>
      <w:pPr>
        <w:spacing w:after="240" w:line="360" w:lineRule="auto"/>
        <w:ind w:firstLine="1701"/>
        <w:jc w:val="both"/>
      </w:pPr>
      <w:r>
        <w:rPr>
          <w:rFonts w:ascii="Sora" w:hAnsi="Sora" w:eastAsia="Sora" w:cs="Sora"/>
          <w:b w:val="0"/>
          <w:caps w:val="0"/>
          <w:color w:val="595959"/>
          <w:sz w:val="24"/>
          <w:u w:val="none"/>
        </w:rPr>
        <w:t>O veredito de viabilidade para o registro da marca "Jimmy Steenmeijer Advocacia" é ALTAMENTE PROVÁVEL nas três classes analisadas, com grau de segurança elevado. Na Classe 45, o campo está inteiramente livre — não há qualquer anterioridade que contenha os elementos "Jimmy", "Steenmeijer" ou a combinação destes aplicada a serviços jurídicos. Na Classe 35, a mesma liberdade se confirma, sem anterioridades que possam obstar o registro para serviços de consultoria empresarial. Na Classe 41, igualmente, não há impedimentos para o registro destinado a atividades educacionais e de publicação. A singularidade do patronímico "Steenmeijer" no contexto marcário brasileiro opera como escudo registral natural: a probabilidade de surgimento de marca idêntica ou confusamente semelhante é remota. A estratégia recomendada é depositar simultaneamente nas três classes com as especificações detalhadas na PARTE 1, sem necessidade de cautelas adicionais contra anterioridades — o terreno marcário está, em termos práticos, completamente livre para o registro.</w:t>
      </w:r>
    </w:p>
    <w:p>
      <w:pPr>
        <w:spacing w:before="720"/>
        <w:jc w:val="right"/>
      </w:pPr>
      <w:r>
        <w:rPr>
          <w:rFonts w:ascii="Sora" w:hAnsi="Sora" w:eastAsia="Sora" w:cs="Sora"/>
          <w:b w:val="0"/>
          <w:caps w:val="0"/>
          <w:color w:val="595959"/>
          <w:sz w:val="24"/>
          <w:u w:val="none"/>
        </w:rPr>
        <w:t>É o parecer.</w:t>
        <w:br/>
        <w:t>15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Jimmy Steenmeijer</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