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rFonts w:ascii="Sora" w:hAnsi="Sora" w:eastAsia="Sora" w:cs="Sora"/>
          <w:b/>
          <w:caps/>
          <w:color w:val="9FEC14"/>
          <w:sz w:val="52"/>
          <w:u w:val="none"/>
        </w:rPr>
        <w:t>LAUDO DE VIABILIDADE</w:t>
      </w:r>
    </w:p>
    <w:p>
      <w:pPr>
        <w:keepNext/>
        <w:spacing w:before="480" w:after="240"/>
        <w:pBdr>
          <w:bottom w:val="single" w:sz="24" w:space="4" w:color="9FEC14"/>
        </w:pBdr>
      </w:pPr>
      <w:r>
        <w:rPr>
          <w:rFonts w:ascii="Sora" w:hAnsi="Sora" w:eastAsia="Sora" w:cs="Sora"/>
          <w:b/>
          <w:caps/>
          <w:color w:val="9FEC14"/>
          <w:sz w:val="32"/>
          <w:u w:val="none"/>
        </w:rPr>
        <w:t>1. INTRODUÇÃO</w:t>
      </w:r>
    </w:p>
    <w:p>
      <w:pPr>
        <w:spacing w:after="240" w:line="360" w:lineRule="auto"/>
        <w:ind w:firstLine="1701"/>
        <w:jc w:val="both"/>
      </w:pPr>
      <w:r>
        <w:rPr>
          <w:rFonts w:ascii="Sora" w:hAnsi="Sora" w:eastAsia="Sora" w:cs="Sora"/>
          <w:b w:val="0"/>
          <w:caps w:val="0"/>
          <w:color w:val="595959"/>
          <w:sz w:val="24"/>
          <w:u w:val="none"/>
        </w:rPr>
        <w:t>Este documento tem como objetivo avaliar a viabilidade de registrar a marca denominada “Método Bases”, considerando o risco de rejeição. Nossa conclusão é uma avaliação baseada em opinião e não garante que o Instituto Nacional da Propriedade Intelectual (INPI) irá deferir ou negar o pedido. No entanto, garantimos que realizamos todos os esforços necessários na pesquisa de similaridade de marca.</w:t>
      </w:r>
    </w:p>
    <w:p>
      <w:pPr>
        <w:spacing w:after="240" w:line="360" w:lineRule="auto"/>
        <w:ind w:firstLine="1701"/>
        <w:jc w:val="both"/>
      </w:pPr>
      <w:r>
        <w:rPr>
          <w:rFonts w:ascii="Sora" w:hAnsi="Sora" w:eastAsia="Sora" w:cs="Sora"/>
          <w:b w:val="0"/>
          <w:caps w:val="0"/>
          <w:color w:val="595959"/>
          <w:sz w:val="24"/>
          <w:u w:val="none"/>
        </w:rPr>
        <w:t>Independentemente do resultado, a decisão de registrar a marca cabe ao cliente. Estaremos focados em apresentar o laudo da melhor forma possível.</w:t>
      </w:r>
    </w:p>
    <w:p>
      <w:pPr>
        <w:spacing w:after="240" w:line="360" w:lineRule="auto"/>
        <w:ind w:firstLine="1701"/>
        <w:jc w:val="both"/>
      </w:pPr>
      <w:r>
        <w:rPr>
          <w:rFonts w:ascii="Sora" w:hAnsi="Sora" w:eastAsia="Sora" w:cs="Sora"/>
          <w:b w:val="0"/>
          <w:caps w:val="0"/>
          <w:color w:val="595959"/>
          <w:sz w:val="24"/>
          <w:u w:val="none"/>
        </w:rPr>
        <w:t>Considerando o exposto, é possível efetuar o registro de marcas em diferentes formas, tais como nominativa (baseada no nome), mista (combinando um logo e o nome), figurativa (centrada apenas no logo) e até mesmo tridimensional (representando a configuração física de um produto específico).</w:t>
      </w:r>
    </w:p>
    <w:p>
      <w:pPr>
        <w:spacing w:after="240" w:line="360" w:lineRule="auto"/>
        <w:ind w:firstLine="1701"/>
        <w:jc w:val="both"/>
      </w:pPr>
      <w:r>
        <w:rPr>
          <w:rFonts w:ascii="Sora" w:hAnsi="Sora" w:eastAsia="Sora" w:cs="Sora"/>
          <w:b w:val="0"/>
          <w:caps w:val="0"/>
          <w:color w:val="595959"/>
          <w:sz w:val="24"/>
          <w:u w:val="none"/>
        </w:rPr>
        <w:t>Nesta circunstância, após a submissão do requerimento de registro de marca ao INPI, será divulgado na RPI – Revista da Propriedade Industrial, dando início ao prazo legal de 60 (sessenta) dias para que terceiros possam opor-se, sendo concedido ao titular o mesmo período para apresentar sua defesa.</w:t>
      </w:r>
    </w:p>
    <w:p>
      <w:pPr>
        <w:spacing w:after="240" w:line="360" w:lineRule="auto"/>
        <w:ind w:firstLine="1701"/>
        <w:jc w:val="both"/>
      </w:pPr>
      <w:r>
        <w:rPr>
          <w:rFonts w:ascii="Sora" w:hAnsi="Sora" w:eastAsia="Sora" w:cs="Sora"/>
          <w:b w:val="0"/>
          <w:caps w:val="0"/>
          <w:color w:val="595959"/>
          <w:sz w:val="24"/>
          <w:u w:val="none"/>
        </w:rPr>
        <w:t>Após esse procedimento, o INPI analisará as oposições apresentadas e realizará a avaliação substancial do pedido de registro da marca, assegurando-se de que esta atenda aos quatro requisitos estabelecidos. Estes requisitos são:</w:t>
      </w:r>
    </w:p>
    <w:p>
      <w:pPr>
        <w:spacing w:after="240" w:line="360" w:lineRule="auto"/>
        <w:ind w:firstLine="1701"/>
        <w:jc w:val="both"/>
      </w:pPr>
      <w:r>
        <w:rPr>
          <w:rFonts w:ascii="Sora" w:hAnsi="Sora" w:eastAsia="Sora" w:cs="Sora"/>
          <w:b/>
          <w:caps w:val="0"/>
          <w:color w:val="595959"/>
          <w:sz w:val="24"/>
          <w:u w:val="single"/>
        </w:rPr>
        <w:t>VERACIDADE</w:t>
      </w:r>
      <w:r>
        <w:rPr>
          <w:rFonts w:ascii="Sora" w:hAnsi="Sora" w:eastAsia="Sora" w:cs="Sora"/>
          <w:b w:val="0"/>
          <w:caps w:val="0"/>
          <w:color w:val="595959"/>
          <w:sz w:val="24"/>
          <w:u w:val="none"/>
        </w:rPr>
        <w:t xml:space="preserve"> - </w:t>
      </w:r>
      <w:r>
        <w:rPr>
          <w:rFonts w:ascii="Sora" w:hAnsi="Sora" w:eastAsia="Sora" w:cs="Sora"/>
          <w:b w:val="0"/>
          <w:caps w:val="0"/>
          <w:color w:val="595959"/>
          <w:sz w:val="24"/>
          <w:u w:val="none"/>
        </w:rPr>
        <w:t>A marca não pode ter caráter enganoso que induza o público a erro quanto à origem, procedência, natureza, qualidade ou utilidade do produto ou serviço a que se destina. – Previsto no inciso X do art. 124 da LPI.</w:t>
      </w:r>
    </w:p>
    <w:p>
      <w:pPr>
        <w:spacing w:after="240" w:line="360" w:lineRule="auto"/>
        <w:ind w:firstLine="1701"/>
        <w:jc w:val="both"/>
      </w:pPr>
      <w:r>
        <w:rPr>
          <w:rFonts w:ascii="Sora" w:hAnsi="Sora" w:eastAsia="Sora" w:cs="Sora"/>
          <w:b/>
          <w:caps w:val="0"/>
          <w:color w:val="595959"/>
          <w:sz w:val="24"/>
          <w:u w:val="single"/>
        </w:rPr>
        <w:t>LICEIDADE</w:t>
      </w:r>
      <w:r>
        <w:rPr>
          <w:rFonts w:ascii="Sora" w:hAnsi="Sora" w:eastAsia="Sora" w:cs="Sora"/>
          <w:b w:val="0"/>
          <w:caps w:val="0"/>
          <w:color w:val="595959"/>
          <w:sz w:val="24"/>
          <w:u w:val="none"/>
        </w:rPr>
        <w:t xml:space="preserve"> - </w:t>
      </w:r>
      <w:r>
        <w:rPr>
          <w:rFonts w:ascii="Sora" w:hAnsi="Sora" w:eastAsia="Sora" w:cs="Sora"/>
          <w:b w:val="0"/>
          <w:caps w:val="0"/>
          <w:color w:val="595959"/>
          <w:sz w:val="24"/>
          <w:u w:val="none"/>
        </w:rPr>
        <w:t>Esse requisito dispõe que a marca não pode conter elementos característicos presentes em símbolos oficiais, e também não pode conter elementos que contrariam à moral e aos bons costumes. – Previsto nos incisos I, III, XI e XIV do art. 124 da LPI.</w:t>
      </w:r>
    </w:p>
    <w:p>
      <w:pPr>
        <w:spacing w:after="240" w:line="360" w:lineRule="auto"/>
        <w:ind w:firstLine="1701"/>
        <w:jc w:val="both"/>
      </w:pPr>
      <w:r>
        <w:rPr>
          <w:rFonts w:ascii="Sora" w:hAnsi="Sora" w:eastAsia="Sora" w:cs="Sora"/>
          <w:b/>
          <w:caps w:val="0"/>
          <w:color w:val="595959"/>
          <w:sz w:val="24"/>
          <w:u w:val="single"/>
        </w:rPr>
        <w:t>DISTINTIVIDADE</w:t>
      </w:r>
      <w:r>
        <w:rPr>
          <w:rFonts w:ascii="Sora" w:hAnsi="Sora" w:eastAsia="Sora" w:cs="Sora"/>
          <w:b w:val="0"/>
          <w:caps w:val="0"/>
          <w:color w:val="595959"/>
          <w:sz w:val="24"/>
          <w:u w:val="none"/>
        </w:rPr>
        <w:t xml:space="preserve"> - </w:t>
      </w:r>
      <w:r>
        <w:rPr>
          <w:rFonts w:ascii="Sora" w:hAnsi="Sora" w:eastAsia="Sora" w:cs="Sora"/>
          <w:b w:val="0"/>
          <w:caps w:val="0"/>
          <w:color w:val="595959"/>
          <w:sz w:val="24"/>
          <w:u w:val="none"/>
        </w:rPr>
        <w:t>Esse requisitos dispõe que é condição fundamental e função da marca enquanto signo diferenciador de produtos e serviços. – Previsto nos incisos incisos II, VI, VII, VIII, XVIII e XXI do art. 124 da LPI.</w:t>
      </w:r>
    </w:p>
    <w:p>
      <w:pPr>
        <w:spacing w:after="240" w:line="360" w:lineRule="auto"/>
        <w:ind w:firstLine="1701"/>
        <w:jc w:val="both"/>
      </w:pPr>
      <w:r>
        <w:rPr>
          <w:rFonts w:ascii="Sora" w:hAnsi="Sora" w:eastAsia="Sora" w:cs="Sora"/>
          <w:b/>
          <w:caps w:val="0"/>
          <w:color w:val="595959"/>
          <w:sz w:val="24"/>
          <w:u w:val="single"/>
        </w:rPr>
        <w:t>NOVIDADE / DISPONIBILIDADE</w:t>
      </w:r>
      <w:r>
        <w:rPr>
          <w:rFonts w:ascii="Sora" w:hAnsi="Sora" w:eastAsia="Sora" w:cs="Sora"/>
          <w:b w:val="0"/>
          <w:caps w:val="0"/>
          <w:color w:val="595959"/>
          <w:sz w:val="24"/>
          <w:u w:val="none"/>
        </w:rPr>
        <w:t xml:space="preserve"> - </w:t>
      </w:r>
      <w:r>
        <w:rPr>
          <w:rFonts w:ascii="Sora" w:hAnsi="Sora" w:eastAsia="Sora" w:cs="Sora"/>
          <w:b w:val="0"/>
          <w:caps w:val="0"/>
          <w:color w:val="595959"/>
          <w:sz w:val="24"/>
          <w:u w:val="none"/>
        </w:rPr>
        <w:t>Os aspectos gráfico, fonético e ideológico da marca precisam ser exibido de uma forma diferente dos demais já existentes em determinado ramo ou classe. – Previsto nos arts. 124, incisos IV, V, IX, XII, XIII, XV, XVI, XVII, XIX, XX, XXII e XXIII, 125 e 126 da LPI.</w:t>
      </w:r>
    </w:p>
    <w:p>
      <w:pPr>
        <w:spacing w:after="240" w:line="360" w:lineRule="auto"/>
        <w:ind w:firstLine="1701"/>
        <w:jc w:val="both"/>
      </w:pPr>
      <w:r>
        <w:rPr>
          <w:rFonts w:ascii="Sora" w:hAnsi="Sora" w:eastAsia="Sora" w:cs="Sora"/>
          <w:b w:val="0"/>
          <w:caps w:val="0"/>
          <w:color w:val="595959"/>
          <w:sz w:val="24"/>
          <w:u w:val="none"/>
        </w:rPr>
        <w:t>Entre os requisitos mencionados, a partir da análise de vários pedidos que foram indeferidos, nota-se que o critério da novidade é frequentemente o principal motivo de indeferimento, devido à sua natureza abrangente e complexa.</w:t>
      </w:r>
    </w:p>
    <w:p>
      <w:pPr>
        <w:spacing w:after="240" w:line="360" w:lineRule="auto"/>
        <w:ind w:firstLine="1701"/>
        <w:jc w:val="both"/>
      </w:pPr>
      <w:r>
        <w:rPr>
          <w:rFonts w:ascii="Sora" w:hAnsi="Sora" w:eastAsia="Sora" w:cs="Sora"/>
          <w:b w:val="0"/>
          <w:caps w:val="0"/>
          <w:color w:val="595959"/>
          <w:sz w:val="24"/>
          <w:u w:val="none"/>
        </w:rPr>
        <w:t>Após avaliar o pedido à luz dos quatro requisitos estipulados, o INPI emitirá uma decisão, que poderá ser de indeferimento, concedendo à parte um prazo de 60 dias para apresentar recurso, ou de deferimento, ocasião em que será emitida a certidão de concessão da marca dentro do mesmo prazo após a decisão.</w:t>
      </w:r>
    </w:p>
    <w:p>
      <w:pPr>
        <w:spacing w:after="240" w:line="360" w:lineRule="auto"/>
        <w:ind w:firstLine="1701"/>
        <w:jc w:val="both"/>
      </w:pPr>
      <w:r>
        <w:rPr>
          <w:rFonts w:ascii="Sora" w:hAnsi="Sora" w:eastAsia="Sora" w:cs="Sora"/>
          <w:b w:val="0"/>
          <w:caps w:val="0"/>
          <w:color w:val="595959"/>
          <w:sz w:val="24"/>
          <w:u w:val="none"/>
        </w:rPr>
        <w:t>Com a concessão da marca, o INPI procederá com uma nova publicação na RPI – Revista da Propriedade Industrial, marcando o início do prazo de 180 dias (cento e oitenta) dias para que terceiros possam apresentar Processo Administrativo de Nulidade, buscando anular a marca. No caso de tal pedido de nulidade, o titular da marca terá o prazo de 60 dias para contestá-lo, sendo a decisão final sobre o assunto de competência do Presidente do INPI.</w:t>
      </w:r>
    </w:p>
    <w:p>
      <w:pPr>
        <w:spacing w:after="240" w:line="360" w:lineRule="auto"/>
        <w:ind w:firstLine="1701"/>
        <w:jc w:val="both"/>
      </w:pPr>
      <w:r>
        <w:rPr>
          <w:rFonts w:ascii="Sora" w:hAnsi="Sora" w:eastAsia="Sora" w:cs="Sora"/>
          <w:b w:val="0"/>
          <w:caps w:val="0"/>
          <w:color w:val="595959"/>
          <w:sz w:val="24"/>
          <w:u w:val="none"/>
        </w:rPr>
        <w:t>Para facilitar melhor a compreensão do processo de registro de marca, anexa-se o fluxograma abaixo demonstrando expressamento o processo adotado pelo INPI até concessão do registro da marca:</w:t>
      </w:r>
    </w:p>
    <w:p>
      <w:pPr>
        <w:jc w:val="center"/>
      </w:pPr>
      <w:r>
        <w:drawing>
          <wp:inline xmlns:a="http://schemas.openxmlformats.org/drawingml/2006/main" xmlns:pic="http://schemas.openxmlformats.org/drawingml/2006/picture">
            <wp:extent cx="5400000" cy="3600000"/>
            <wp:docPr id="1" name="Picture 1"/>
            <wp:cNvGraphicFramePr>
              <a:graphicFrameLocks noChangeAspect="1"/>
            </wp:cNvGraphicFramePr>
            <a:graphic>
              <a:graphicData uri="http://schemas.openxmlformats.org/drawingml/2006/picture">
                <pic:pic>
                  <pic:nvPicPr>
                    <pic:cNvPr id="0" name="fluxograma-inpi.png"/>
                    <pic:cNvPicPr/>
                  </pic:nvPicPr>
                  <pic:blipFill>
                    <a:blip r:embed="rId13"/>
                    <a:stretch>
                      <a:fillRect/>
                    </a:stretch>
                  </pic:blipFill>
                  <pic:spPr>
                    <a:xfrm>
                      <a:off x="0" y="0"/>
                      <a:ext cx="5400000" cy="3600000"/>
                    </a:xfrm>
                    <a:prstGeom prst="rect"/>
                  </pic:spPr>
                </pic:pic>
              </a:graphicData>
            </a:graphic>
          </wp:inline>
        </w:drawing>
      </w:r>
    </w:p>
    <w:p>
      <w:pPr>
        <w:spacing w:after="240" w:line="360" w:lineRule="auto"/>
        <w:ind w:firstLine="1701"/>
        <w:jc w:val="both"/>
      </w:pPr>
      <w:r>
        <w:rPr>
          <w:rFonts w:ascii="Sora" w:hAnsi="Sora" w:eastAsia="Sora" w:cs="Sora"/>
          <w:b w:val="0"/>
          <w:caps w:val="0"/>
          <w:color w:val="595959"/>
          <w:sz w:val="24"/>
          <w:u w:val="none"/>
        </w:rPr>
        <w:t>Diante do exposto introdutório sobre o procedimento adotado pelo INPI para registro de marca, prosseguimos agora com uma análise voltada ao segmento de mercado do cliente. Nessa análise, buscamos identificar as classes mais adequadas para registro, visando ampliar a proteção da marca em todo o seu ramo.</w:t>
      </w:r>
    </w:p>
    <w:p>
      <w:r>
        <w:br w:type="page"/>
      </w:r>
    </w:p>
    <w:p>
      <w:pPr>
        <w:keepNext/>
        <w:spacing w:before="480" w:after="240"/>
        <w:pBdr>
          <w:bottom w:val="single" w:sz="24" w:space="4" w:color="9FEC14"/>
        </w:pBdr>
      </w:pPr>
      <w:r>
        <w:rPr>
          <w:rFonts w:ascii="Sora" w:hAnsi="Sora" w:eastAsia="Sora" w:cs="Sora"/>
          <w:b/>
          <w:caps/>
          <w:color w:val="9FEC14"/>
          <w:sz w:val="32"/>
          <w:u w:val="none"/>
        </w:rPr>
        <w:t>2. CLASSES RECOMENDADAS</w:t>
      </w:r>
    </w:p>
    <w:p>
      <w:pPr>
        <w:spacing w:after="240" w:line="360" w:lineRule="auto"/>
        <w:ind w:firstLine="1701"/>
        <w:jc w:val="both"/>
      </w:pPr>
      <w:r>
        <w:rPr>
          <w:rFonts w:ascii="Sora" w:hAnsi="Sora" w:eastAsia="Sora" w:cs="Sora"/>
          <w:b w:val="0"/>
          <w:caps w:val="0"/>
          <w:color w:val="595959"/>
          <w:sz w:val="24"/>
          <w:u w:val="none"/>
        </w:rPr>
        <w:t>Nesta seção, iremos expor nossas sugestões sobre quais classes independentes são aconselháveis para registro conforme o seguimento da empresa. Sabe-se que a empresa tem como atividade metodologia de psicologia e supervisão de psicologia.</w:t>
      </w:r>
    </w:p>
    <w:p>
      <w:pPr>
        <w:spacing w:before="480" w:after="240" w:line="360" w:lineRule="auto"/>
        <w:ind w:firstLine="0"/>
      </w:pPr>
      <w:r>
        <w:rPr>
          <w:rFonts w:ascii="Sora" w:hAnsi="Sora" w:eastAsia="Sora" w:cs="Sora"/>
          <w:b w:val="0"/>
          <w:caps w:val="0"/>
          <w:color w:val="595959"/>
          <w:sz w:val="24"/>
          <w:u w:val="none"/>
        </w:rPr>
      </w:r>
      <w:r>
        <w:rPr>
          <w:rFonts w:ascii="Sora" w:hAnsi="Sora" w:eastAsia="Sora" w:cs="Sora"/>
          <w:b/>
          <w:caps w:val="0"/>
          <w:color w:val="9FEC14"/>
          <w:sz w:val="26"/>
          <w:u w:val="none"/>
        </w:rPr>
        <w:t>Classe 41 (muito recomendável)</w:t>
      </w:r>
      <w:r>
        <w:rPr>
          <w:rFonts w:ascii="Sora" w:hAnsi="Sora" w:eastAsia="Sora" w:cs="Sora"/>
          <w:b w:val="0"/>
          <w:caps w:val="0"/>
          <w:color w:val="595959"/>
          <w:sz w:val="24"/>
          <w:u w:val="none"/>
        </w:rPr>
        <w:t xml:space="preserve"> – Serviços de ensino; serviços de instrução; serviços de educação; organização e apresentação de seminários; organização e apresentação de conferências; organização e apresentação de colóquios; organização e apresentação de oficinas de trabalho [treinamento]; orientação [treinamento]; coaching [treinamento]; provimento de informações sobre educação [instrução]; publicação on-line de livros e periódicos eletrônicos; provimento de publicações eletrônicas on-line, não baixáveis; produção de podcasts; transferência de know-how [treinamento]; transferência de conhecimento e know-how de negócios [treinamento]; provimento de treinamento e exame pedagógico [avaliação] para fins de certificação.</w:t>
      </w:r>
    </w:p>
    <w:p>
      <w:pPr>
        <w:spacing w:after="240" w:line="360" w:lineRule="auto"/>
        <w:ind w:firstLine="1701"/>
        <w:jc w:val="both"/>
      </w:pPr>
      <w:r>
        <w:rPr>
          <w:rFonts w:ascii="Sora" w:hAnsi="Sora" w:eastAsia="Sora" w:cs="Sora"/>
          <w:b w:val="0"/>
          <w:caps w:val="0"/>
          <w:color w:val="595959"/>
          <w:sz w:val="24"/>
          <w:u w:val="none"/>
        </w:rPr>
        <w:t>A Classe 41 é o núcleo da proteção marcária para uma metodologia de ensino e supervisão em psicologia. Abrange toda a dimensão educacional e formativa da atividade: cursos, treinamentos, supervisões, seminários, publicações educacionais e certificações. Uma metodologia que forma profissionais e oferece supervisão é, em essência, um serviço educacional — e esta classe protege exatamente isso.</w:t>
      </w:r>
    </w:p>
    <w:p>
      <w:pPr>
        <w:spacing w:before="480" w:after="240" w:line="360" w:lineRule="auto"/>
        <w:ind w:firstLine="0"/>
      </w:pPr>
      <w:r>
        <w:rPr>
          <w:rFonts w:ascii="Sora" w:hAnsi="Sora" w:eastAsia="Sora" w:cs="Sora"/>
          <w:b w:val="0"/>
          <w:caps w:val="0"/>
          <w:color w:val="595959"/>
          <w:sz w:val="24"/>
          <w:u w:val="none"/>
        </w:rPr>
      </w:r>
      <w:r>
        <w:rPr>
          <w:rFonts w:ascii="Sora" w:hAnsi="Sora" w:eastAsia="Sora" w:cs="Sora"/>
          <w:b/>
          <w:caps w:val="0"/>
          <w:color w:val="9FEC14"/>
          <w:sz w:val="26"/>
          <w:u w:val="none"/>
        </w:rPr>
        <w:t>Classe 44 (muito recomendável)</w:t>
      </w:r>
      <w:r>
        <w:rPr>
          <w:rFonts w:ascii="Sora" w:hAnsi="Sora" w:eastAsia="Sora" w:cs="Sora"/>
          <w:b w:val="0"/>
          <w:caps w:val="0"/>
          <w:color w:val="595959"/>
          <w:sz w:val="24"/>
          <w:u w:val="none"/>
        </w:rPr>
        <w:t xml:space="preserve"> – Serviços de psicólogos; serviços de terapia; aconselhamento em questões de saúde; serviços de saúde; serviços de clínica médica; terapia assistida por animais [zooterapia]; serviços de medicina alternativa.</w:t>
      </w:r>
    </w:p>
    <w:p>
      <w:pPr>
        <w:spacing w:after="240" w:line="360" w:lineRule="auto"/>
        <w:ind w:firstLine="1701"/>
        <w:jc w:val="both"/>
      </w:pPr>
      <w:r>
        <w:rPr>
          <w:rFonts w:ascii="Sora" w:hAnsi="Sora" w:eastAsia="Sora" w:cs="Sora"/>
          <w:b w:val="0"/>
          <w:caps w:val="0"/>
          <w:color w:val="595959"/>
          <w:sz w:val="24"/>
          <w:u w:val="none"/>
        </w:rPr>
        <w:t>A Classe 44 protege a dimensão clínica da atividade. Embora "Método Bases" seja primariamente uma metodologia de supervisão, ela se aplica ao campo da psicologia clínica — serviços de psicólogos, terapia e aconselhamento em saúde mental. Se a metodologia também é aplicada diretamente a pacientes (não apenas na formação de profissionais), esta classe é indispensável.</w:t>
      </w:r>
    </w:p>
    <w:p>
      <w:pPr>
        <w:spacing w:before="480" w:after="240" w:line="360" w:lineRule="auto"/>
        <w:ind w:firstLine="0"/>
      </w:pPr>
      <w:r>
        <w:rPr>
          <w:rFonts w:ascii="Sora" w:hAnsi="Sora" w:eastAsia="Sora" w:cs="Sora"/>
          <w:b w:val="0"/>
          <w:caps w:val="0"/>
          <w:color w:val="595959"/>
          <w:sz w:val="24"/>
          <w:u w:val="none"/>
        </w:rPr>
      </w:r>
      <w:r>
        <w:rPr>
          <w:rFonts w:ascii="Sora" w:hAnsi="Sora" w:eastAsia="Sora" w:cs="Sora"/>
          <w:b/>
          <w:caps w:val="0"/>
          <w:color w:val="9FEC14"/>
          <w:sz w:val="26"/>
          <w:u w:val="none"/>
        </w:rPr>
        <w:t>Classe 16 (recomendável)</w:t>
      </w:r>
      <w:r>
        <w:rPr>
          <w:rFonts w:ascii="Sora" w:hAnsi="Sora" w:eastAsia="Sora" w:cs="Sora"/>
          <w:b w:val="0"/>
          <w:caps w:val="0"/>
          <w:color w:val="595959"/>
          <w:sz w:val="24"/>
          <w:u w:val="none"/>
        </w:rPr>
        <w:t xml:space="preserve"> – Publicação de livros; material de instrução ou ensino [exceto aparelhos]; impressos [gravuras]; manuais [obras de referência].</w:t>
      </w:r>
    </w:p>
    <w:p>
      <w:pPr>
        <w:spacing w:after="240" w:line="360" w:lineRule="auto"/>
        <w:ind w:firstLine="1701"/>
        <w:jc w:val="both"/>
      </w:pPr>
      <w:r>
        <w:rPr>
          <w:rFonts w:ascii="Sora" w:hAnsi="Sora" w:eastAsia="Sora" w:cs="Sora"/>
          <w:b w:val="0"/>
          <w:caps w:val="0"/>
          <w:color w:val="595959"/>
          <w:sz w:val="24"/>
          <w:u w:val="none"/>
        </w:rPr>
        <w:t>A Classe 16 protege materiais didáticos impressos. Se a metodologia inclui apostilas, manuais, livros ou cadernos de exercícios, esta classe oferece proteção adicional ao conteúdo em formato físico.</w:t>
      </w:r>
    </w:p>
    <w:p>
      <w:r>
        <w:br w:type="page"/>
      </w:r>
    </w:p>
    <w:p>
      <w:pPr>
        <w:keepNext/>
        <w:spacing w:before="480" w:after="240"/>
        <w:pBdr>
          <w:bottom w:val="single" w:sz="24" w:space="4" w:color="9FEC14"/>
        </w:pBdr>
      </w:pPr>
      <w:r>
        <w:rPr>
          <w:rFonts w:ascii="Sora" w:hAnsi="Sora" w:eastAsia="Sora" w:cs="Sora"/>
          <w:b/>
          <w:caps/>
          <w:color w:val="9FEC14"/>
          <w:sz w:val="32"/>
          <w:u w:val="none"/>
        </w:rPr>
        <w:t>3. ANÁLISE DE REQUISITOS (ESPECÍFICA)</w:t>
      </w:r>
    </w:p>
    <w:p>
      <w:pPr>
        <w:spacing w:after="240" w:line="360" w:lineRule="auto"/>
        <w:ind w:firstLine="1701"/>
        <w:jc w:val="both"/>
      </w:pPr>
      <w:r>
        <w:rPr>
          <w:rFonts w:ascii="Sora" w:hAnsi="Sora" w:eastAsia="Sora" w:cs="Sora"/>
          <w:b w:val="0"/>
          <w:caps w:val="0"/>
          <w:color w:val="595959"/>
          <w:sz w:val="24"/>
          <w:u w:val="none"/>
        </w:rPr>
        <w:t>O sinal marcário "Método Bases" submete-se à análise intrínseca exigida pela Lei 9.279/96 quanto aos três pilares fundamentais da registrabilidade. Trata-se de expressão composta por dois vocábulos de uso corrente — "Método" e "Bases" — cuja combinação demanda exame atento de cada requisito.</w:t>
      </w:r>
    </w:p>
    <w:p>
      <w:pPr>
        <w:spacing w:after="240" w:line="360" w:lineRule="auto"/>
        <w:ind w:firstLine="1701"/>
        <w:jc w:val="both"/>
      </w:pPr>
      <w:r>
        <w:rPr>
          <w:rFonts w:ascii="Sora" w:hAnsi="Sora" w:eastAsia="Sora" w:cs="Sora"/>
          <w:b w:val="0"/>
          <w:caps w:val="0"/>
          <w:color w:val="595959"/>
          <w:sz w:val="24"/>
          <w:u w:val="none"/>
        </w:rPr>
        <w:t>No tocante à VERACIDADE, o sinal "Método Bases" não induz o consumidor a erro quanto à origem, natureza ou qualidade do serviço. A expressão não sugere falsamente uma procedência institucional, acadêmica ou científica que não exista: trata-se de uma denominação que identifica uma abordagem metodológica própria no campo da psicologia. O consumidor que busca supervisão psicológica entenderá "Método Bases" como o nome de uma metodologia específica, não como uma descrição genérica de qualquer método. O requisito de VERACIDADE encontra-se satisfeito.</w:t>
      </w:r>
    </w:p>
    <w:p>
      <w:pPr>
        <w:spacing w:after="240" w:line="360" w:lineRule="auto"/>
        <w:ind w:firstLine="1701"/>
        <w:jc w:val="both"/>
      </w:pPr>
      <w:r>
        <w:rPr>
          <w:rFonts w:ascii="Sora" w:hAnsi="Sora" w:eastAsia="Sora" w:cs="Sora"/>
          <w:b w:val="0"/>
          <w:caps w:val="0"/>
          <w:color w:val="595959"/>
          <w:sz w:val="24"/>
          <w:u w:val="none"/>
        </w:rPr>
        <w:t>Quanto à LICEIDADE, a análise verifica que o sinal não incide em nenhuma das proibições absolutas do artigo 124 da LPI. Não há reprodução de termo técnico oficial da psicologia (como "TCC" ou "Psicanálise"), não há indicação geográfica falsa, não há expressão de uso necessário pela comunidade científica. A palavra "Método" é genérica isoladamente, mas combinada com "Bases" forma um conjunto que não constitui expressão de uso obrigatório no campo da psicologia. A LICEIDADE resta preservada.</w:t>
      </w:r>
    </w:p>
    <w:p>
      <w:pPr>
        <w:spacing w:after="240" w:line="360" w:lineRule="auto"/>
        <w:ind w:firstLine="1701"/>
        <w:jc w:val="both"/>
      </w:pPr>
      <w:r>
        <w:rPr>
          <w:rFonts w:ascii="Sora" w:hAnsi="Sora" w:eastAsia="Sora" w:cs="Sora"/>
          <w:b w:val="0"/>
          <w:caps w:val="0"/>
          <w:color w:val="595959"/>
          <w:sz w:val="24"/>
          <w:u w:val="none"/>
        </w:rPr>
        <w:t>No campo da DISTINTIVIDADE — requisito central neste caso — o sinal "Método Bases" demanda análise cuidadosa. O vocábulo "Método" é descritivo em sua essência: designa diretamente um procedimento sistemático, sendo de uso corrente e necessário no campo educacional e científico. O vocábulo "Bases", igualmente, é genérico: significa fundamentos, alicerces, princípios. Isoladamente, nenhum dos dois termos possui função distintiva suficiente para registro. Contudo, a combinação "Método Bases" cria um conjunto que transcende a mera justaposição descritiva: não existe, no campo da psicologia, uma expressão consagrada ou necessária chamada "Método Bases" — trata-se de uma denominação criada para identificar uma abordagem específica. O sinal transita entre o EVOCATIVO e o DESCRITIVO: é EVOCATIVO porque sugere que se trata de um método que trabalha com bases/fundamentos da psicologia, sem descrever diretamente o que o método faz ou como funciona; é parcialmente DESCRITIVO porque ambos os termos pertencem ao vocabulário corrente do campo. Não é FANTASIOSO, pois utiliza palavras existentes com sentido reconhecível. Não é ARBITRÁRIO, pois há relação semântica entre os termos e a atividade. O risco principal reside na possibilidade de o INPI considerar a expressão como descritiva de "um método que ensina bases" — o que fundamentaria indeferimento com base no artigo 124, inciso VI, da LPI. A estratégia de mitigação é redigir especificações que demonstrem o caráter distintivo do conjunto, enfatizando que "Método Bases" é um nome próprio de metodologia, não uma descrição genérica.</w:t>
      </w:r>
    </w:p>
    <w:p>
      <w:r>
        <w:br w:type="page"/>
      </w:r>
    </w:p>
    <w:p>
      <w:pPr>
        <w:keepNext/>
        <w:spacing w:before="480" w:after="240"/>
        <w:pBdr>
          <w:bottom w:val="single" w:sz="24" w:space="4" w:color="9FEC14"/>
        </w:pBdr>
      </w:pPr>
      <w:r>
        <w:rPr>
          <w:rFonts w:ascii="Sora" w:hAnsi="Sora" w:eastAsia="Sora" w:cs="Sora"/>
          <w:b/>
          <w:caps/>
          <w:color w:val="9FEC14"/>
          <w:sz w:val="32"/>
          <w:u w:val="none"/>
        </w:rPr>
        <w:t>4. ANÁLISE DE COLIDÊNCIAS E VIABILIDADE</w:t>
      </w:r>
    </w:p>
    <w:p>
      <w:pPr>
        <w:spacing w:after="240" w:line="360" w:lineRule="auto"/>
        <w:ind w:firstLine="1701"/>
        <w:jc w:val="both"/>
      </w:pPr>
      <w:r>
        <w:rPr>
          <w:rFonts w:ascii="Sora" w:hAnsi="Sora" w:eastAsia="Sora" w:cs="Sora"/>
          <w:b w:val="0"/>
          <w:caps w:val="0"/>
          <w:color w:val="595959"/>
          <w:sz w:val="24"/>
          <w:u w:val="none"/>
        </w:rPr>
        <w:t>A investigação de anterioridades para o sinal "Método Bases" foi conduzida diretamente no banco de dados do Instituto Nacional da Propriedade Industrial, utilizando o módulo de Pesquisa Avançada com análise por similaridade fonética, gráfica e conceitual. A varredura abrangeu as Classes 41, 44 e 16 da Classificação Internacional de Nice, resultando em 156 processos na Classe 41, 42 na Classe 44 e 75 na Classe 16. Dado que o vocábulo "Método" é reconhecidamente genérico e de uso comum, a análise de confundibilidade concentra-se no elemento nominativo mais forte do conjunto — "Bases" — que será o foco de apreciação pelo examinador do INPI. A seguir, examina-se individualmente cada anterioridade ativa que contenha o elemento "BASES" ou "BASE" nas classes de interesse, com citação integral das especificações registradas.</w:t>
      </w:r>
    </w:p>
    <w:p>
      <w:pPr>
        <w:spacing w:before="480" w:after="240" w:line="360" w:lineRule="auto"/>
        <w:ind w:firstLine="0"/>
      </w:pPr>
      <w:r>
        <w:rPr>
          <w:rFonts w:ascii="Sora" w:hAnsi="Sora" w:eastAsia="Sora" w:cs="Sora"/>
          <w:b w:val="0"/>
          <w:caps w:val="0"/>
          <w:color w:val="595959"/>
          <w:sz w:val="24"/>
          <w:u w:val="none"/>
        </w:rPr>
      </w:r>
      <w:r>
        <w:rPr>
          <w:rFonts w:ascii="Sora" w:hAnsi="Sora" w:eastAsia="Sora" w:cs="Sora"/>
          <w:b/>
          <w:caps w:val="0"/>
          <w:color w:val="9FEC14"/>
          <w:sz w:val="26"/>
          <w:u w:val="none"/>
        </w:rPr>
        <w:t>Classe 41 — Anterioridades identificadas</w:t>
      </w:r>
      <w:r>
        <w:rPr>
          <w:rFonts w:ascii="Sora" w:hAnsi="Sora" w:eastAsia="Sora" w:cs="Sora"/>
          <w:b w:val="0"/>
          <w:caps w:val="0"/>
          <w:color w:val="595959"/>
          <w:sz w:val="24"/>
          <w:u w:val="none"/>
        </w:rPr>
      </w:r>
    </w:p>
    <w:p>
      <w:pPr>
        <w:spacing w:after="240" w:line="360" w:lineRule="auto"/>
        <w:ind w:firstLine="1701"/>
        <w:jc w:val="both"/>
      </w:pPr>
      <w:r>
        <w:rPr>
          <w:rFonts w:ascii="Sora" w:hAnsi="Sora" w:eastAsia="Sora" w:cs="Sora"/>
          <w:b w:val="0"/>
          <w:caps w:val="0"/>
          <w:color w:val="595959"/>
          <w:sz w:val="24"/>
          <w:u w:val="none"/>
        </w:rPr>
        <w:t>O sinal "BASES" (processo 935272291, NCL 12/41, marca mista, natureza de produtos e/ou serviço, depositado em 04/07/2024, aguardando processamento da concessão, titular Mario Cesar da Silva Gomes) encontra-se em vias de concessão. Suas especificações compreendem: assessoria, consultoria e informação em educação [instrução]; assessoria, consultoria e informação em educação física; assessoria, consultoria e informação em treinamento [demonstração][ensino]; assessoria, consultoria e informação ensino; coaching [treinamento]; curso de idioma; cursos livres [ensino]; educação religiosa; filmagem em vídeo; organização e apresentação de colóquios; organização e apresentação de conferências; organização e apresentação de congressos; organização e apresentação de oficinas de trabalho [treinamento]; organização e apresentação de seminários; organização e apresentação de simpósios; organização e condução de fóruns educacionais presenciais; orientação [treinamento]; pesquisa na área de educação; produção de podcasts; provimento de informações sobre educação [instrução]; provimento de publicações eletrônicas on-line, não baixáveis; publicação de livros; publicação de textos, exceto para publicidade; publicação on-line de livros e periódicos eletrônicos; serviços de educação; serviços de educação, prestados a título de assistência social; serviços de ensino; serviços de instrução. O cotejo com as especificações pretendidas pelo depositante revela sobreposição ampla em serviços educacionais: "serviços de ensino", "coaching [treinamento]", "orientação [treinamento]", "organização de seminários" e "publicação on-line de livros e periódicos eletrônicos" constam de ambos os róis. Contudo, esta anterioridade é sinal isolado de uma única palavra genérica — "BASES" — sem qualquer elemento diferenciador. O fato de o INPI estar concedendo registro a "BASES" puro na Classe 41 indica que a autarquia não considera o termo per se irregistrável nesta classe, o que paradoxalmente favorece o depositante: se "BASES" isolado é admitido, com maior razão o conjunto "Método Bases" — que agrega elemento diferenciador — deve ser admitido em coexistência. Risco de objeção: moderado, mitigável pela argumentação de que "Método" confere identidade própria ao conjunto.</w:t>
      </w:r>
    </w:p>
    <w:p>
      <w:pPr>
        <w:spacing w:after="240" w:line="360" w:lineRule="auto"/>
        <w:ind w:firstLine="1701"/>
        <w:jc w:val="both"/>
      </w:pPr>
      <w:r>
        <w:rPr>
          <w:rFonts w:ascii="Sora" w:hAnsi="Sora" w:eastAsia="Sora" w:cs="Sora"/>
          <w:b w:val="0"/>
          <w:caps w:val="0"/>
          <w:color w:val="595959"/>
          <w:sz w:val="24"/>
          <w:u w:val="none"/>
        </w:rPr>
        <w:t>O sinal "BASES" (processo 935706410, NCL 12/41, marca mista, natureza de produtos e/ou serviço, depositado em 07/08/2024, aguardando exame de mérito, titular Mario Cesar da Silva Gomes — mesmo titular do processo anterior) constitui segundo pedido do mesmo titular para o sinal "BASES" na Classe 41. Suas especificações compreendem: assessoria, consultoria e informação em educação [instrução]; assessoria, consultoria e informação em treinamento [demonstração][ensino]; assessoria, consultoria e informação ensino; aulas particulares; coaching [treinamento]; curso de idioma; cursos livres [ensino]; edição de texto; editoração eletrônica; educação religiosa; organização de competições [educação ou entretenimento]; organização de exposições para fins culturais ou educativos; organização e apresentação de colóquios, conferências, congressos, oficinas de trabalho, seminários e simpósios; organização e condução de fóruns educacionais presenciais; orientação [treinamento]; pesquisa na área de educação; produção de podcasts; publicação de livros; publicação on-line de livros e periódicos eletrônicos; serviços de educação; serviços de ensino; serviços de instrução; serviços educacionais prestados por escolas; transferência de conhecimento e know-how de negócios [treinamento]; transferência de know-how [treinamento]; treinamento prático [demonstração]. A sobreposição com as especificações pretendidas é substancial e virtualmente idêntica à do processo anterior. A existência de dois pedidos de "BASES" puro na mesma classe, pelo mesmo titular, configura precedente de convivência: o INPI admite que o elemento "BASES" é suficientemente genérico para comportar múltiplos registros, o que sustenta a coexistência com "Método Bases". Risco de objeção: moderado, atenuado pelo precedente de multiplicidade.</w:t>
      </w:r>
    </w:p>
    <w:p>
      <w:pPr>
        <w:spacing w:after="240" w:line="360" w:lineRule="auto"/>
        <w:ind w:firstLine="1701"/>
        <w:jc w:val="both"/>
      </w:pPr>
      <w:r>
        <w:rPr>
          <w:rFonts w:ascii="Sora" w:hAnsi="Sora" w:eastAsia="Sora" w:cs="Sora"/>
          <w:b w:val="0"/>
          <w:caps w:val="0"/>
          <w:color w:val="595959"/>
          <w:sz w:val="24"/>
          <w:u w:val="none"/>
        </w:rPr>
        <w:t>O sinal "INSTITUTO BASES" (processo 921620179, NCL 11/41, marca mista, natureza de serviço, depositada em 16/12/2020, concedida em 13/10/2021, vigente até 13/10/2031, titular Mario Cesar da Silva Gomes) ostenta registro em vigor. Suas especificações compreendem: assessoria, consultoria e informação em educação [instrução]; assessoria, consultoria e informação em educação física; assessoria, consultoria e informação em treinamento [demonstração][ensino]; coaching; curso de idioma; cursos livres [ensino]; educação religiosa; organização e apresentação de colóquios, conferências, congressos, oficinas de trabalho, seminários e simpósios; organização e condução de fóruns educacionais presenciais; orientação [treinamento]; provimento de informações sobre educação; provimento de publicações eletrônicas on-line; publicação de livros; publicação on-line de livros e periódicos eletrônicos; serviços de educação; serviços de ensino. A sobreposição com as especificações pretendidas é ampla em serviços educacionais genéricos. O sinal anterior é composto, diferenciado pelo elemento "INSTITUTO", assim como "Método Bases" se diferencia pelo elemento "Método". O INPI concedeu "INSTITUTO BASES" sem objeção por colidência com "BASES" puro, confirmando que o acréscimo de elemento diferenciador é suficiente para a coexistência. Risco de objeção: baixo a moderado.</w:t>
      </w:r>
    </w:p>
    <w:p>
      <w:pPr>
        <w:spacing w:after="240" w:line="360" w:lineRule="auto"/>
        <w:ind w:firstLine="1701"/>
        <w:jc w:val="both"/>
      </w:pPr>
      <w:r>
        <w:rPr>
          <w:rFonts w:ascii="Sora" w:hAnsi="Sora" w:eastAsia="Sora" w:cs="Sora"/>
          <w:b w:val="0"/>
          <w:caps w:val="0"/>
          <w:color w:val="595959"/>
          <w:sz w:val="24"/>
          <w:u w:val="none"/>
        </w:rPr>
        <w:t>O sinal "INSTITUTO BASES" (processo 937197610, NCL 12/41, marca mista, natureza de produtos e/ou serviço, depositado em 29/11/2024, aguardando exame de mérito, titular Mario Cesar da Silva Gomes) constitui novo pedido do mesmo titular com especificações substancialmente ampliadas em relação ao registro anterior, abrangendo: academias [educação]; aulas de ginástica; aulas particulares; avaliação de aptidão física; coaching [treinamento]; curso técnico de formação; cursos livres [ensino]; cursos por correspondência; educação física; exames pedagógicos [avaliação]; filmagem em vídeo; organização de competições; orientação [treinamento]; pesquisa na área de educação; produção de podcasts; publicação de livros; serviços de academia de ginástica; serviços de assistência educacional para pessoas com necessidades individuais; serviços de personal trainer; transferência de conhecimento e know-how de negócios [treinamento]; treinamento prático [demonstração], entre dezenas de outras especificações educacionais, culturais e de entretenimento. A existência de múltiplos pedidos e registros de "INSTITUTO BASES" e "BASES" pelo mesmo titular na mesma classe é evidência contundente de que o INPI trata o elemento "BASES" como fraco e de uso compartilhável no campo educacional. Risco de objeção: baixo a moderado.</w:t>
      </w:r>
    </w:p>
    <w:p>
      <w:pPr>
        <w:spacing w:after="240" w:line="360" w:lineRule="auto"/>
        <w:ind w:firstLine="1701"/>
        <w:jc w:val="both"/>
      </w:pPr>
      <w:r>
        <w:rPr>
          <w:rFonts w:ascii="Sora" w:hAnsi="Sora" w:eastAsia="Sora" w:cs="Sora"/>
          <w:b w:val="0"/>
          <w:caps w:val="0"/>
          <w:color w:val="595959"/>
          <w:sz w:val="24"/>
          <w:u w:val="none"/>
        </w:rPr>
        <w:t>O sinal "Projeto BASES" (processo 935977724, NCL 12/41, marca mista, aguardando exame de mérito, titular Mario Cesar da Silva Gomes, depositado em 27/08/2024) apresenta especificações quase idênticas às do "INSTITUTO BASES" (processo 937197610), com amplitude similar em educação, treinamento, publicação e produção de conteúdo. Novamente do mesmo titular, reforça o padrão de que "BASES" é tratado como elemento fraco que requer diferenciação por elemento adicional — "Projeto", "Instituto", e no caso do depositante, "Método". Risco de objeção: baixo a moderado.</w:t>
      </w:r>
    </w:p>
    <w:p>
      <w:pPr>
        <w:spacing w:after="240" w:line="360" w:lineRule="auto"/>
        <w:ind w:firstLine="1701"/>
        <w:jc w:val="both"/>
      </w:pPr>
      <w:r>
        <w:rPr>
          <w:rFonts w:ascii="Sora" w:hAnsi="Sora" w:eastAsia="Sora" w:cs="Sora"/>
          <w:b w:val="0"/>
          <w:caps w:val="0"/>
          <w:color w:val="595959"/>
          <w:sz w:val="24"/>
          <w:u w:val="none"/>
        </w:rPr>
        <w:t>O sinal "4 Bases" (processo 926632698, NCL 11/41, marca nominativa, natureza de produtos e/ou serviço, depositada em 13/05/2022, concedida em 04/07/2023, vigente até 04/07/2033, titular Hirbis Rosendo Monteiro Girolli) ostenta registro em vigor. Sua especificação compreende: metodologia de ensino; prática de finanças pessoais e educação financeira [treinamento prático]. Esta anterioridade é particularmente relevante por constituir precedente direto: o INPI concedeu registro a uma marca que combina elemento numérico com "Bases" em contexto metodológico de ensino, exatamente a mesma lógica aplicável a "Método Bases". A especificação inclui expressamente "metodologia de ensino", demonstrando que o INPI admite marcas com "Bases" no campo de metodologias educacionais. Risco de objeção: baixo, e opera como precedente favorável.</w:t>
      </w:r>
    </w:p>
    <w:p>
      <w:pPr>
        <w:spacing w:after="240" w:line="360" w:lineRule="auto"/>
        <w:ind w:firstLine="1701"/>
        <w:jc w:val="both"/>
      </w:pPr>
      <w:r>
        <w:rPr>
          <w:rFonts w:ascii="Sora" w:hAnsi="Sora" w:eastAsia="Sora" w:cs="Sora"/>
          <w:b w:val="0"/>
          <w:caps w:val="0"/>
          <w:color w:val="595959"/>
          <w:sz w:val="24"/>
          <w:u w:val="none"/>
        </w:rPr>
        <w:t>O sinal "AS TRÊS BASES" (processo 928540898, NCL 11/41, marca mista, depositada em 03/11/2022, concedida em 02/04/2024, vigente até 02/04/2034, titular Liga de Eventos e Marketing Promocional Ltda. EPP) ostenta registro em vigor. Suas especificações compreendem: apresentação de espetáculos ao vivo; assessoria, consultoria e informação em educação [instrução]; assessoria, consultoria e informação em entretenimento [lazer]; assessoria, consultoria e informação em treinamento [demonstração][ensino]; coaching [treinamento]; cursos livres [ensino]; organização de exposições para fins culturais ou educativos; organização e apresentação de colóquios, conferências, congressos, seminários e simpósios; serviços de educação; serviços de ensino; organização de eventos de entretenimento; produção de podcasts. A sobreposição com as especificações pretendidas ocorre em "coaching [treinamento]", "serviços de ensino" e "organização de seminários". Marca composta com artigo definido e numeral, impressão de conjunto distinta de "Método Bases". Risco de objeção: baixo.</w:t>
      </w:r>
    </w:p>
    <w:p>
      <w:pPr>
        <w:spacing w:after="240" w:line="360" w:lineRule="auto"/>
        <w:ind w:firstLine="1701"/>
        <w:jc w:val="both"/>
      </w:pPr>
      <w:r>
        <w:rPr>
          <w:rFonts w:ascii="Sora" w:hAnsi="Sora" w:eastAsia="Sora" w:cs="Sora"/>
          <w:b w:val="0"/>
          <w:caps w:val="0"/>
          <w:color w:val="595959"/>
          <w:sz w:val="24"/>
          <w:u w:val="none"/>
        </w:rPr>
        <w:t>O sinal "AS CINCO BASES Modelo de Alfabetização Contextualizado" (processo 928692485, NCL 11/41, marca mista, depositada em 18/11/2022, concedida em 14/05/2024, vigente até 14/05/2034, titular As 5 Bases Alfabetização e Treinamento Ltda.) ostenta registro em vigor. Sua especificação compreende: assessoria, consultoria e informação em educação [instrução]. Marca composta com subtítulo descritivo, segmento de alfabetização. Risco de objeção: baixo.</w:t>
      </w:r>
    </w:p>
    <w:p>
      <w:pPr>
        <w:spacing w:after="240" w:line="360" w:lineRule="auto"/>
        <w:ind w:firstLine="1701"/>
        <w:jc w:val="both"/>
      </w:pPr>
      <w:r>
        <w:rPr>
          <w:rFonts w:ascii="Sora" w:hAnsi="Sora" w:eastAsia="Sora" w:cs="Sora"/>
          <w:b w:val="0"/>
          <w:caps w:val="0"/>
          <w:color w:val="595959"/>
          <w:sz w:val="24"/>
          <w:u w:val="none"/>
        </w:rPr>
        <w:t>O sinal "Bases Médicas" (processo 942727169, NCL 12/41, marca nominativa, depositado em 12/02/2026, aguardando prazo de apresentação de oposição, titular Catarina Alves Braga) é pedido recente com especificações em: provimento de imagens on-line, não baixáveis; provimento de imagens, áudios e vídeos on-line, não baixáveis, enquanto serviço de influenciador digital; provimento de publicações eletrônicas on-line, não baixáveis; provimento de vídeos on-line, não baixáveis; publicação on-line de livros e periódicos eletrônicos; serviços de educação on-line prestados em um ambiente virtual. A sobreposição com as especificações pretendidas limita-se a "publicação on-line de livros e periódicos eletrônicos". Embora "Bases Médicas" compartilhe o elemento "Bases", a impressão de conjunto difere de "Método Bases": o elemento "Médicas" direciona a marca ao segmento de educação médica, enquanto "Método" confere identidade de metodologia própria. Risco de objeção: baixo.</w:t>
      </w:r>
    </w:p>
    <w:p>
      <w:pPr>
        <w:spacing w:after="240" w:line="360" w:lineRule="auto"/>
        <w:ind w:firstLine="1701"/>
        <w:jc w:val="both"/>
      </w:pPr>
      <w:r>
        <w:rPr>
          <w:rFonts w:ascii="Sora" w:hAnsi="Sora" w:eastAsia="Sora" w:cs="Sora"/>
          <w:b w:val="0"/>
          <w:caps w:val="0"/>
          <w:color w:val="595959"/>
          <w:sz w:val="24"/>
          <w:u w:val="none"/>
        </w:rPr>
        <w:t>Os sinais "BRECARD – Bases das Respostas às Emergências Cardiológicas" (processo 922795312, NCL 11/41, em vigor, titular Scientifica Treinamentos Ltda.) e "BREVAR – Bases das Respostas às Emergências Ventilatórias e Respiratórias" (processo 925050954, NCL 11/41, em vigor, titular Stoicus Treinamentos) merecem menção por constituírem precedentes de marcas de metodologias científicas que utilizam "Bases" como elemento componente, ambas concedidas com especificações em treinamento e educação. As especificações do BRECARD incluem: assessoria, consultoria e informação em educação [instrução]; assessoria, consultoria e informação em treinamento [demonstração][ensino]; aulas particulares; coaching [treinamento]; curso técnico de formação; cursos livres [ensino]; escolas de enfermagem; organização e apresentação de conferências, congressos, oficinas de trabalho, seminários e simpósios; orientação [treinamento]; publicação de livros; serviços de educação; serviços de ensino; transferência de know-how [treinamento]. A sobreposição com as especificações pretendidas é relevante, mas os sinais anteriores são compostos com elementos altamente diferenciadores (acrônimos + subtítulos descritivos longos), afastando confusão com "Método Bases". Risco de objeção: muito baixo, e operam como precedentes favoráveis.</w:t>
      </w:r>
    </w:p>
    <w:p>
      <w:pPr>
        <w:spacing w:after="240" w:line="360" w:lineRule="auto"/>
        <w:ind w:firstLine="1701"/>
        <w:jc w:val="both"/>
      </w:pPr>
      <w:r>
        <w:rPr>
          <w:rFonts w:ascii="Sora" w:hAnsi="Sora" w:eastAsia="Sora" w:cs="Sora"/>
          <w:b w:val="0"/>
          <w:caps w:val="0"/>
          <w:color w:val="595959"/>
          <w:sz w:val="24"/>
          <w:u w:val="none"/>
        </w:rPr>
        <w:t>Os sinais "BASE2 ENSINO" (processo 918564182) e "BASE2 ENSINO AVANÇADO" (processo 918488419), ambos em vigor na NCL 11/41, titular Pio Educacional Ltda., com especificações em aulas particulares, cursos livres, organização de oficinas e seminários, serviços de educação e ensino; "BASE4 CROSS TRAINING" (processo 918487676, em vigor, titular Academia Base4 Cross Training Ltda.); "ACADEMIA BASE1" (processo 933549768, em vigor, titular Academia de Ginástica Base 1 Ltda.); e "BASE7" (processo 900874813, em vigor, titular Base Sete Projetos Culturais Ltda.) completam o panorama de marcas com o elemento "BASE" na Classe 41. Todos utilizam "BASE" (singular) seguido de numeral ou elemento descritivo, e todos coexistem pacificamente na mesma classe. A densidade marcária do elemento "BASE"/"BASES" na Classe 41 é evidência robusta de que o INPI trata esses termos como fracos, exigindo diferenciação por elementos adicionais — condição que "Método" satisfaz plenamente. Risco de objeção: muito baixo.</w:t>
      </w:r>
    </w:p>
    <w:p>
      <w:pPr>
        <w:spacing w:after="240" w:line="360" w:lineRule="auto"/>
        <w:ind w:firstLine="1701"/>
        <w:jc w:val="both"/>
      </w:pPr>
      <w:r>
        <w:rPr>
          <w:rFonts w:ascii="Sora" w:hAnsi="Sora" w:eastAsia="Sora" w:cs="Sora"/>
          <w:b w:val="0"/>
          <w:caps w:val="0"/>
          <w:color w:val="595959"/>
          <w:sz w:val="24"/>
          <w:u w:val="none"/>
        </w:rPr>
        <w:t>O sinal "Forrozão Tá nas Bases" (processo 934931968, NCL 12/41, em vigor, titular 35.696.718 Edinete Ferreira de Assunção, depositado em 10/06/2024, concedido em 24/02/2026) atua em segmento completamente distinto: espetáculos musicais, composição de canções, produção de shows e sonorização. Nenhuma sobreposição com as especificações pretendidas. Risco de objeção: nenhum.</w:t>
      </w:r>
    </w:p>
    <w:p>
      <w:pPr>
        <w:spacing w:before="480" w:after="240" w:line="360" w:lineRule="auto"/>
        <w:ind w:firstLine="0"/>
      </w:pPr>
      <w:r>
        <w:rPr>
          <w:rFonts w:ascii="Sora" w:hAnsi="Sora" w:eastAsia="Sora" w:cs="Sora"/>
          <w:b w:val="0"/>
          <w:caps w:val="0"/>
          <w:color w:val="595959"/>
          <w:sz w:val="24"/>
          <w:u w:val="none"/>
        </w:rPr>
      </w:r>
      <w:r>
        <w:rPr>
          <w:rFonts w:ascii="Sora" w:hAnsi="Sora" w:eastAsia="Sora" w:cs="Sora"/>
          <w:b/>
          <w:caps w:val="0"/>
          <w:color w:val="9FEC14"/>
          <w:sz w:val="26"/>
          <w:u w:val="none"/>
        </w:rPr>
        <w:t>Classe 44 — Anterioridades identificadas</w:t>
      </w:r>
      <w:r>
        <w:rPr>
          <w:rFonts w:ascii="Sora" w:hAnsi="Sora" w:eastAsia="Sora" w:cs="Sora"/>
          <w:b w:val="0"/>
          <w:caps w:val="0"/>
          <w:color w:val="595959"/>
          <w:sz w:val="24"/>
          <w:u w:val="none"/>
        </w:rPr>
      </w:r>
    </w:p>
    <w:p>
      <w:pPr>
        <w:spacing w:after="240" w:line="360" w:lineRule="auto"/>
        <w:ind w:firstLine="1701"/>
        <w:jc w:val="both"/>
      </w:pPr>
      <w:r>
        <w:rPr>
          <w:rFonts w:ascii="Sora" w:hAnsi="Sora" w:eastAsia="Sora" w:cs="Sora"/>
          <w:b w:val="0"/>
          <w:caps w:val="0"/>
          <w:color w:val="595959"/>
          <w:sz w:val="24"/>
          <w:u w:val="none"/>
        </w:rPr>
        <w:t>O sinal "PROJETO BASES" (processo 916964205, NCL 10/44, marca mista, natureza de serviço, depositada em 22/03/2019, concedida em 31/12/2019, vigente até 31/12/2029, titular Mario Cesar da Silva Gomes) ostenta registro em vigor. Suas especificações compreendem: aconselhamento em questões de saúde; assessoria, consultoria e informação sobre cuidados médicos; consultas médicas [serviços médicos]; grupos de autoajuda [terapia em grupo]; orientação psicológica; reabilitações físicas, mentais e emocionais [serviços médicos]; serviços médicos prestados a título de assistência social. A sobreposição com as especificações pretendidas pelo depositante na Classe 44 ocorre em "aconselhamento em questões de saúde" e "serviços de psicólogos" (que abrange "orientação psicológica"). Contudo, o sinal anterior é composto com "Projeto" como elemento diferenciador, e sua concessão pelo INPI demonstra que marcas com "BASES" são admitidas no campo da saúde e psicologia desde que acompanhadas de elemento adicional — exatamente a função de "Método". Risco de objeção: baixo, e opera como precedente favorável.</w:t>
      </w:r>
    </w:p>
    <w:p>
      <w:pPr>
        <w:spacing w:after="240" w:line="360" w:lineRule="auto"/>
        <w:ind w:firstLine="1701"/>
        <w:jc w:val="both"/>
      </w:pPr>
      <w:r>
        <w:rPr>
          <w:rFonts w:ascii="Sora" w:hAnsi="Sora" w:eastAsia="Sora" w:cs="Sora"/>
          <w:b w:val="0"/>
          <w:caps w:val="0"/>
          <w:color w:val="595959"/>
          <w:sz w:val="24"/>
          <w:u w:val="none"/>
        </w:rPr>
        <w:t>O sinal "INSTITUTO BASES" (processo 921619189, NCL 11/44, marca mista, natureza de serviço, titular Mario Cesar da Silva Gomes, registro em vigor) complementa a proteção do mesmo titular na Classe 44. Suas especificações compreendem: aconselhamento em questões de saúde; assessoria, consultoria e informação em assistência médica; assessoria, consultoria e informação em nutrição; assessoria, consultoria e informação médica; assessoria, consultoria e informação na área médica; assessoria, consultoria e informação no campo da saúde e da medicina; assessoria, consultoria e informação odontológica; assessoria, consultoria e informação sobre cuidados médicos; assessoria, consultoria e informação sobre doenças mentais; assessoria, consultoria e informação sobre suplementos dietéticos e nutrição; assistência médica; consultas médicas; grupos de autoajuda [terapia em grupo]; orientação nutricional; orientação psicológica; reabilitações físicas, mentais e emocionais; serviços médicos prestados a título de assistência social. A sobreposição com as especificações pretendidas é relevante em "serviços de psicólogos" (que se correlaciona com "orientação psicológica" e "assessoria sobre doenças mentais"), "aconselhamento em questões de saúde" e "serviços de terapia". A coexistência entre "PROJETO BASES" e "INSTITUTO BASES" na mesma classe, do mesmo titular, reafirma que "BASES" é elemento fraco que comporta diferenciação por prefixo — e "Método" é um prefixo igualmente válido. Risco de objeção: baixo.</w:t>
      </w:r>
    </w:p>
    <w:p>
      <w:pPr>
        <w:spacing w:before="480" w:after="240" w:line="360" w:lineRule="auto"/>
        <w:ind w:firstLine="0"/>
      </w:pPr>
      <w:r>
        <w:rPr>
          <w:rFonts w:ascii="Sora" w:hAnsi="Sora" w:eastAsia="Sora" w:cs="Sora"/>
          <w:b w:val="0"/>
          <w:caps w:val="0"/>
          <w:color w:val="595959"/>
          <w:sz w:val="24"/>
          <w:u w:val="none"/>
        </w:rPr>
      </w:r>
      <w:r>
        <w:rPr>
          <w:rFonts w:ascii="Sora" w:hAnsi="Sora" w:eastAsia="Sora" w:cs="Sora"/>
          <w:b/>
          <w:caps w:val="0"/>
          <w:color w:val="9FEC14"/>
          <w:sz w:val="26"/>
          <w:u w:val="none"/>
        </w:rPr>
        <w:t>Classe 16 — Anterioridades identificadas</w:t>
      </w:r>
      <w:r>
        <w:rPr>
          <w:rFonts w:ascii="Sora" w:hAnsi="Sora" w:eastAsia="Sora" w:cs="Sora"/>
          <w:b w:val="0"/>
          <w:caps w:val="0"/>
          <w:color w:val="595959"/>
          <w:sz w:val="24"/>
          <w:u w:val="none"/>
        </w:rPr>
      </w:r>
    </w:p>
    <w:p>
      <w:pPr>
        <w:spacing w:after="240" w:line="360" w:lineRule="auto"/>
        <w:ind w:firstLine="1701"/>
        <w:jc w:val="both"/>
      </w:pPr>
      <w:r>
        <w:rPr>
          <w:rFonts w:ascii="Sora" w:hAnsi="Sora" w:eastAsia="Sora" w:cs="Sora"/>
          <w:b w:val="0"/>
          <w:caps w:val="0"/>
          <w:color w:val="595959"/>
          <w:sz w:val="24"/>
          <w:u w:val="none"/>
        </w:rPr>
        <w:t>A busca por similaridade na Classe 16 retornou 75 processos, nenhum dos quais contém o elemento "BASES" combinado com termos educacionais ou de psicologia. Os processos identificados referem-se predominantemente a "BARES" (sindicatos de bares e restaurantes), "BATES" (marca de escritório), "CASES" (estojos, capas), "FASES" (produtos infantis) e "BASED" (em contexto de marcas internacionais). A combinação "MÉTODO BASES" não possui nenhuma anterioridade nesta classe, configurando campo inteiramente livre para registro de materiais didáticos impressos associados à metodologia.</w:t>
      </w:r>
    </w:p>
    <w:p>
      <w:pPr>
        <w:spacing w:after="240" w:line="360" w:lineRule="auto"/>
        <w:ind w:firstLine="1701"/>
        <w:jc w:val="both"/>
      </w:pPr>
      <w:r>
        <w:rPr>
          <w:rFonts w:ascii="Sora" w:hAnsi="Sora" w:eastAsia="Sora" w:cs="Sora"/>
          <w:b w:val="0"/>
          <w:caps w:val="0"/>
          <w:color w:val="595959"/>
          <w:sz w:val="24"/>
          <w:u w:val="none"/>
        </w:rPr>
      </w:r>
      <w:r>
        <w:rPr>
          <w:rFonts w:ascii="Sora" w:hAnsi="Sora" w:eastAsia="Sora" w:cs="Sora"/>
          <w:b/>
          <w:caps w:val="0"/>
          <w:color w:val="595959"/>
          <w:sz w:val="24"/>
          <w:u w:val="none"/>
        </w:rPr>
        <w:t>Conclusão e estratégia de depósito</w:t>
      </w:r>
      <w:r>
        <w:rPr>
          <w:rFonts w:ascii="Sora" w:hAnsi="Sora" w:eastAsia="Sora" w:cs="Sora"/>
          <w:b w:val="0"/>
          <w:caps w:val="0"/>
          <w:color w:val="595959"/>
          <w:sz w:val="24"/>
          <w:u w:val="none"/>
        </w:rPr>
      </w:r>
    </w:p>
    <w:p>
      <w:pPr>
        <w:spacing w:after="240" w:line="360" w:lineRule="auto"/>
        <w:ind w:firstLine="1701"/>
        <w:jc w:val="both"/>
      </w:pPr>
      <w:r>
        <w:rPr>
          <w:rFonts w:ascii="Sora" w:hAnsi="Sora" w:eastAsia="Sora" w:cs="Sora"/>
          <w:b w:val="0"/>
          <w:caps w:val="0"/>
          <w:color w:val="595959"/>
          <w:sz w:val="24"/>
          <w:u w:val="none"/>
        </w:rPr>
        <w:t>A análise do universo de anterioridades conduz a prognóstico favorável para o registro de "Método Bases" nas três classes pretendidas, com ressalva específica para a Classe 41. Na Classe 41, a densidade marcária do elemento "BASES" é elevada: coexistem na mesma classe os sinais "BASES" puro (dois processos do mesmo titular), "INSTITUTO BASES", "Projeto BASES", "4 Bases", "AS TRÊS BASES", "AS CINCO BASES", "Bases Médicas", "BRECARD – Bases das Respostas às Emergências Cardiológicas", "BREVAR – Bases das Respostas às Emergências Ventilatórias", "BASE2 ENSINO", "BASE4 CROSS TRAINING", "ACADEMIA BASE1", "BASE7" e "Forrozão Tá nas Bases" — todos com diferentes titulares ou do mesmo titular com diferentes prefixos, todos coexistindo pacificamente. Essa multiplicidade é evidência irrefutável de que o INPI trata "BASES" como elemento de baixa distintividade intrínseca no campo educacional, exigindo que cada titular se diferencie por elemento adicional. O acréscimo de "Método" satisfaz plenamente essa exigência, conferindo ao conjunto identidade própria e distinta de todos os sinais existentes. A concessão de "4 Bases" com especificação em "metodologia de ensino" é precedente particularmente relevante. Recomenda-se redigir as especificações de forma precisa, concentrada no universo da psicologia — "supervisão clínica de profissionais de psicologia", "formação em metodologia psicológica aplicada", "ensino de técnicas de abordagem terapêutica" — evitando especificações genéricas de educação que maximizariam a sobreposição com os registros existentes de "BASES" puro. Na Classe 44, a viabilidade é PROVÁVEL: as anterioridades existentes ("Projeto Bases" e "Instituto Bases") coexistem harmonicamente, e o acréscimo "Método" confere distinção suficiente. Na Classe 16, a viabilidade é MUITO PROVÁVEL — campo inteiramente livre, sem anterioridades. O prognóstico consolidado é: Classe 41 — provável com estratégia de especificações; Classe 44 — provável; Classe 16 — muito provável.</w:t>
      </w:r>
    </w:p>
    <w:p>
      <w:pPr>
        <w:spacing w:before="720"/>
        <w:jc w:val="right"/>
      </w:pPr>
      <w:r>
        <w:rPr>
          <w:rFonts w:ascii="Sora" w:hAnsi="Sora" w:eastAsia="Sora" w:cs="Sora"/>
          <w:b w:val="0"/>
          <w:caps w:val="0"/>
          <w:color w:val="595959"/>
          <w:sz w:val="24"/>
          <w:u w:val="none"/>
        </w:rPr>
        <w:t>É o parecer.</w:t>
        <w:br/>
        <w:t>16 de março de 2026.</w:t>
        <w:br/>
        <w:t>Equipe Genesis</w:t>
      </w:r>
    </w:p>
    <w:sectPr w:rsidR="00FC693F" w:rsidRPr="0006063C" w:rsidSect="00034616">
      <w:headerReference w:type="first" r:id="rId9"/>
      <w:headerReference w:type="default" r:id="rId10"/>
      <w:footerReference w:type="default" r:id="rId11"/>
      <w:footerReference w:type="first" r:id="rId12"/>
      <w:pgSz w:w="12240" w:h="15840"/>
      <w:pgMar w:top="2268" w:right="1417" w:bottom="1417"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ora" w:hAnsi="Sora" w:eastAsia="Sora" w:cs="Sora"/>
        <w:b w:val="0"/>
        <w:caps w:val="0"/>
        <w:color w:val="656565"/>
        <w:sz w:val="18"/>
        <w:u w:val="none"/>
      </w:rPr>
      <w:t>Genesis - Marcas e Patentes | Rua Pará, 945, Londrina, Paraná, CEP 86010-450 | @genesisregistro</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ora" w:hAnsi="Sora" w:eastAsia="Sora" w:cs="Sora"/>
        <w:b w:val="0"/>
        <w:caps w:val="0"/>
        <w:color w:val="656565"/>
        <w:sz w:val="18"/>
        <w:u w:val="none"/>
      </w:rPr>
      <w:t>Genesis - Marcas e Patentes | Rua Pará, 945, Londrina, Paraná, CEP 86010-450 | @genesisregistro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4535"/>
      <w:gridCol w:w="4535"/>
    </w:tblGrid>
    <w:tr>
      <w:tc>
        <w:tcPr>
          <w:tcW w:type="dxa" w:w="4535"/>
          <w:vAlign w:val="center"/>
        </w:tcPr>
        <w:p>
          <w:pPr>
            <w:jc w:val="left"/>
          </w:pPr>
          <w:r>
            <w:drawing>
              <wp:inline xmlns:a="http://schemas.openxmlformats.org/drawingml/2006/main" xmlns:pic="http://schemas.openxmlformats.org/drawingml/2006/picture">
                <wp:extent cx="2520000" cy="1575000"/>
                <wp:docPr id="1" name="Picture 1"/>
                <wp:cNvGraphicFramePr>
                  <a:graphicFrameLocks noChangeAspect="1"/>
                </wp:cNvGraphicFramePr>
                <a:graphic>
                  <a:graphicData uri="http://schemas.openxmlformats.org/drawingml/2006/picture">
                    <pic:pic>
                      <pic:nvPicPr>
                        <pic:cNvPr id="0" name="logo-genesis.png"/>
                        <pic:cNvPicPr/>
                      </pic:nvPicPr>
                      <pic:blipFill>
                        <a:blip r:embed="rId1"/>
                        <a:stretch>
                          <a:fillRect/>
                        </a:stretch>
                      </pic:blipFill>
                      <pic:spPr>
                        <a:xfrm>
                          <a:off x="0" y="0"/>
                          <a:ext cx="2520000" cy="1575000"/>
                        </a:xfrm>
                        <a:prstGeom prst="rect"/>
                      </pic:spPr>
                    </pic:pic>
                  </a:graphicData>
                </a:graphic>
              </wp:inline>
            </w:drawing>
          </w:r>
        </w:p>
      </w:tc>
      <w:tc>
        <w:tcPr>
          <w:tcW w:type="dxa" w:w="4535"/>
          <w:vAlign w:val="center"/>
        </w:tcPr>
        <w:p>
          <w:pPr>
            <w:jc w:val="right"/>
          </w:pPr>
          <w:r>
            <w:rPr>
              <w:rFonts w:ascii="Sora" w:hAnsi="Sora" w:eastAsia="Sora" w:cs="Sora"/>
              <w:b w:val="0"/>
              <w:caps w:val="0"/>
              <w:color w:val="656565"/>
              <w:sz w:val="22"/>
              <w:u w:val="none"/>
            </w:rPr>
            <w:t>Para</w:t>
            <w:br/>
          </w:r>
          <w:r>
            <w:rPr>
              <w:rFonts w:ascii="Sora" w:hAnsi="Sora" w:eastAsia="Sora" w:cs="Sora"/>
              <w:b/>
              <w:caps w:val="0"/>
              <w:color w:val="595959"/>
              <w:sz w:val="32"/>
              <w:u w:val="none"/>
            </w:rPr>
            <w:t>Equipe Método Bases</w:t>
          </w: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2160000" cy="1350000"/>
          <wp:docPr id="1" name="Picture 1"/>
          <wp:cNvGraphicFramePr>
            <a:graphicFrameLocks noChangeAspect="1"/>
          </wp:cNvGraphicFramePr>
          <a:graphic>
            <a:graphicData uri="http://schemas.openxmlformats.org/drawingml/2006/picture">
              <pic:pic>
                <pic:nvPicPr>
                  <pic:cNvPr id="0" name="logo-genesis.png"/>
                  <pic:cNvPicPr/>
                </pic:nvPicPr>
                <pic:blipFill>
                  <a:blip r:embed="rId1"/>
                  <a:stretch>
                    <a:fillRect/>
                  </a:stretch>
                </pic:blipFill>
                <pic:spPr>
                  <a:xfrm>
                    <a:off x="0" y="0"/>
                    <a:ext cx="2160000" cy="135000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