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“Parceiros do Condomínio”,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marketplace de serviços para condomínios, intermediando prestadores de serviços e síndicos, com comunicação direta entre as partes dentro da plataforma.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Propaganda; gestão, organização e administração de negócios; funções de escritório; intermediação e agenciamento de negócios; serviços de intermediação comercial [marketplace]; promoção de vendas para terceiros; publicidade; provimento de espaço de venda on-line para compradores e vendedores de produtos e serviços; serviços de plataforma de comparação de preços; apresentação de produtos e serviços em meios de comunicação para venda a varejo.</w:t>
      </w:r>
    </w:p>
    <w:p>
      <w:pPr>
        <w:spacing w:after="240" w:line="360" w:lineRule="auto"/>
        <w:ind w:firstLine="1701"/>
        <w:jc w:val="both"/>
      </w:pPr>
      <w:r>
        <w:rPr>
          <w:rFonts w:ascii="Sora" w:hAnsi="Sora" w:eastAsia="Sora" w:cs="Sora"/>
          <w:b w:val="0"/>
          <w:caps w:val="0"/>
          <w:color w:val="595959"/>
          <w:sz w:val="24"/>
          <w:u w:val="none"/>
        </w:rPr>
        <w:t>A Classe 35 constitui o núcleo absoluto da proteção marcária para a operação de "Parceiros do Condomínio". A natureza do negócio é, em essência, intermediação comercial: a plataforma conecta síndicos a prestadores de serviços, viabiliza a solicitação e comparação de orçamentos e promove os fornecedores cadastrados perante a demanda condominial. Trata-se de marketplace puro — o valor está na intermediação e na curadoria de prestadores, não na execução dos serviços. A especificação deve enfatizar "serviços de intermediação comercial no segmento condominial", "provimento de plataforma on-line para comparação de prestadores de serviços" e "promoção de serviços de terceiros para administração condominial".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36 (muito recomendável)</w:t>
      </w:r>
      <w:r>
        <w:rPr>
          <w:rFonts w:ascii="Sora" w:hAnsi="Sora" w:eastAsia="Sora" w:cs="Sora"/>
          <w:b w:val="0"/>
          <w:caps w:val="0"/>
          <w:color w:val="595959"/>
          <w:sz w:val="24"/>
          <w:u w:val="none"/>
        </w:rPr>
        <w:t xml:space="preserve"> – Seguros; negócios financeiros; negócios monetários; negócios imobiliários; administração de imóveis; administração predial; administração de condomínios; consultoria em administração condominial; serviços de cobrança de taxas condominiais; avaliação imobiliária.</w:t>
      </w:r>
    </w:p>
    <w:p>
      <w:pPr>
        <w:spacing w:after="240" w:line="360" w:lineRule="auto"/>
        <w:ind w:firstLine="1701"/>
        <w:jc w:val="both"/>
      </w:pPr>
      <w:r>
        <w:rPr>
          <w:rFonts w:ascii="Sora" w:hAnsi="Sora" w:eastAsia="Sora" w:cs="Sora"/>
          <w:b w:val="0"/>
          <w:caps w:val="0"/>
          <w:color w:val="595959"/>
          <w:sz w:val="24"/>
          <w:u w:val="none"/>
        </w:rPr>
        <w:t>A Classe 36 protege a dimensão imobiliária e condominial do negócio. Embora "Parceiros do Condomínio" não seja uma administradora de condomínios no sentido estrito, a plataforma opera no ecossistema de gestão condominial e pode expandir para serviços adjacentes como consultoria em administração predial, intermediação de seguros condominiais ou gestão de fornecedores homologados. A proteção nesta classe blinda a marca contra concorrentes diretos que atuem na interseção entre tecnologia e gestão condominial — um mercado em franca expansão no Brasil.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42 (muito recomendável)</w:t>
      </w:r>
      <w:r>
        <w:rPr>
          <w:rFonts w:ascii="Sora" w:hAnsi="Sora" w:eastAsia="Sora" w:cs="Sora"/>
          <w:b w:val="0"/>
          <w:caps w:val="0"/>
          <w:color w:val="595959"/>
          <w:sz w:val="24"/>
          <w:u w:val="none"/>
        </w:rPr>
        <w:t xml:space="preserve"> – Serviços científicos e tecnológicos e pesquisa e desenho relacionados; serviços de análise industrial e pesquisa; concepção e desenvolvimento de hardware e software de computador; software como serviço [SaaS]; plataforma como serviço [PaaS]; hospedagem de plataformas na internet; provimento de uso temporário de software não baixável on-line.</w:t>
      </w:r>
    </w:p>
    <w:p>
      <w:pPr>
        <w:spacing w:after="240" w:line="360" w:lineRule="auto"/>
        <w:ind w:firstLine="1701"/>
        <w:jc w:val="both"/>
      </w:pPr>
      <w:r>
        <w:rPr>
          <w:rFonts w:ascii="Sora" w:hAnsi="Sora" w:eastAsia="Sora" w:cs="Sora"/>
          <w:b w:val="0"/>
          <w:caps w:val="0"/>
          <w:color w:val="595959"/>
          <w:sz w:val="24"/>
          <w:u w:val="none"/>
        </w:rPr>
        <w:t>A Classe 42 protege a dimensão tecnológica da operação. Como plataforma digital (marketplace), o "Parceiros do Condomínio" é, em sua infraestrutura, um software de intermediação — seja como aplicativo móvel, plataforma web ou SaaS. O registro nesta classe impede que concorrentes utilizem marca idêntica ou semelhante para oferecer soluções tecnológicas no mesmo segmento condominial, resguardando o ativo digital.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38 (possui sinergia)</w:t>
      </w:r>
      <w:r>
        <w:rPr>
          <w:rFonts w:ascii="Sora" w:hAnsi="Sora" w:eastAsia="Sora" w:cs="Sora"/>
          <w:b w:val="0"/>
          <w:caps w:val="0"/>
          <w:color w:val="595959"/>
          <w:sz w:val="24"/>
          <w:u w:val="none"/>
        </w:rPr>
        <w:t xml:space="preserve"> – Telecomunicações; provimento de acesso à rede global de computadores; provimento de salas de bate-papo; provimento de fóruns on-line; transmissão de mensagens e imagens por meio de computador; serviços de comunicação por plataformas on-line.</w:t>
      </w:r>
    </w:p>
    <w:p>
      <w:pPr>
        <w:spacing w:after="240" w:line="360" w:lineRule="auto"/>
        <w:ind w:firstLine="1701"/>
        <w:jc w:val="both"/>
      </w:pPr>
      <w:r>
        <w:rPr>
          <w:rFonts w:ascii="Sora" w:hAnsi="Sora" w:eastAsia="Sora" w:cs="Sora"/>
          <w:b w:val="0"/>
          <w:caps w:val="0"/>
          <w:color w:val="595959"/>
          <w:sz w:val="24"/>
          <w:u w:val="none"/>
        </w:rPr>
        <w:t>A Classe 38 apresenta sinergia com a operação na medida em que a plataforma oferece funcionalidade de comunicação direta entre síndicos e prestadores — descrita pelo próprio cliente como "conversa tipo OLX". A proteção nesta classe é estratégica para blindar a funcionalidade de mensageria interna da plataforma, embora não seja essencial se o foco permanecer na intermediação comercial (Classe 35) e não na infraestrutura de comunicação em si.</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"Parceiros do Condomínio" apresenta-se como expressão composta, de natureza nominativa, formada pela conjunção do substantivo "Parceiros" — que remete à ideia de colaboração, aliança e reciprocidade — com o complemento locativo "do Condomínio", que situa o âmbito de atuação no universo condominial. A análise intrínseca do sinal deve percorrer os três pilares exigidos pela Lei 9.279/96 para aferição de registrabilidade perante o INPI, com atenção redobrada ao elemento descritivo que compõe o conjunto.</w:t>
      </w:r>
    </w:p>
    <w:p>
      <w:pPr>
        <w:spacing w:after="240" w:line="360" w:lineRule="auto"/>
        <w:ind w:firstLine="1701"/>
        <w:jc w:val="both"/>
      </w:pPr>
      <w:r>
        <w:rPr>
          <w:rFonts w:ascii="Sora" w:hAnsi="Sora" w:eastAsia="Sora" w:cs="Sora"/>
          <w:b w:val="0"/>
          <w:caps w:val="0"/>
          <w:color w:val="595959"/>
          <w:sz w:val="24"/>
          <w:u w:val="none"/>
        </w:rPr>
        <w:t>No que tange à VERACIDADE, o sinal não apresenta caráter enganoso. A expressão "Parceiros do Condomínio" comunica ao consumidor, de forma transparente, que se trata de um serviço voltado ao ecossistema condominial, oferecendo uma rede de parceiros prestadores de serviços. O síndico ou condômino que se depara com a marca compreende que está diante de uma plataforma de intermediação de serviços para o contexto de condomínios — e essa percepção corresponde fielmente à realidade da operação. Não há indução a erro quanto à origem geográfica, natureza dos serviços ou qualidade dos prestadores. A marca não sugere, por exemplo, que os prestadores são funcionários do condomínio ou que possuem vínculo institucional com alguma administradora específica. O requisito de VERACIDADE encontra-se plenamente satisfeito.</w:t>
      </w:r>
    </w:p>
    <w:p>
      <w:pPr>
        <w:spacing w:after="240" w:line="360" w:lineRule="auto"/>
        <w:ind w:firstLine="1701"/>
        <w:jc w:val="both"/>
      </w:pPr>
      <w:r>
        <w:rPr>
          <w:rFonts w:ascii="Sora" w:hAnsi="Sora" w:eastAsia="Sora" w:cs="Sora"/>
          <w:b w:val="0"/>
          <w:caps w:val="0"/>
          <w:color w:val="595959"/>
          <w:sz w:val="24"/>
          <w:u w:val="none"/>
        </w:rPr>
        <w:t>Sob a perspectiva da LICEIDADE, a expressão "Parceiros do Condomínio" não incide em qualquer das proibições elencadas no artigo 124 da LPI. Não constitui reprodução de termo oficial, designação de órgão público, símbolo protegido ou expressão de uso necessário. O vocábulo "condomínio" pertence ao léxico comum da língua portuguesa e não é objeto de proteção isolada. A combinação "Parceiros do Condomínio" tampouco é expressão impublicável, contrária à moral ou à ordem pública. A LICEIDADE resta preservada sem ressalvas.</w:t>
      </w:r>
    </w:p>
    <w:p>
      <w:pPr>
        <w:spacing w:after="240" w:line="360" w:lineRule="auto"/>
        <w:ind w:firstLine="1701"/>
        <w:jc w:val="both"/>
      </w:pPr>
      <w:r>
        <w:rPr>
          <w:rFonts w:ascii="Sora" w:hAnsi="Sora" w:eastAsia="Sora" w:cs="Sora"/>
          <w:b w:val="0"/>
          <w:caps w:val="0"/>
          <w:color w:val="595959"/>
          <w:sz w:val="24"/>
          <w:u w:val="none"/>
        </w:rPr>
        <w:t>O exame da DISTINTIVIDADE, contudo, exige análise mais granular e constitui o ponto central desta avaliação. A decomposição do sinal revela dois componentes: "Parceiros", termo genérico que designa relação de colaboração ou associação comercial, amplamente utilizado no mercado brasileiro para qualificar redes de fornecedores, programas de fidelidade e ecossistemas de negócios; e "do Condomínio", locativo que circunscreve o âmbito de atuação ao segmento condominial. Individualmente, ambos os termos são desprovidos de força distintiva — "parceiros" é designação genérica de relação comercial e "condomínio" é a descrição literal do mercado-alvo. A questão decisiva reside em saber se a combinação dos termos gera um significado autônomo que transcenda a mera soma das partes.</w:t>
      </w:r>
    </w:p>
    <w:p>
      <w:pPr>
        <w:spacing w:after="240" w:line="360" w:lineRule="auto"/>
        <w:ind w:firstLine="1701"/>
        <w:jc w:val="both"/>
      </w:pPr>
      <w:r>
        <w:rPr>
          <w:rFonts w:ascii="Sora" w:hAnsi="Sora" w:eastAsia="Sora" w:cs="Sora"/>
          <w:b w:val="0"/>
          <w:caps w:val="0"/>
          <w:color w:val="595959"/>
          <w:sz w:val="24"/>
          <w:u w:val="none"/>
        </w:rPr>
        <w:t>A expressão "Parceiros do Condomínio", tomada em seu conjunto, situa-se na fronteira entre o DESCRITIVO e o EVOCATIVO. De um lado, o sinal comunica de forma quase direta o serviço oferecido: uma rede de parceiros que atua no segmento de condomínios. De outro, a personificação implícita — "parceiros" como sujeitos que pertencem ao condomínio, e não como mera descrição do serviço de intermediação — confere ao conjunto uma camada semântica adicional que ultrapassa a pura descrição técnica. O consumidor não percebe "Parceiros do Condomínio" como equivalente a "prestadores de serviços para condomínios", mas como uma marca-conceito que evoca proximidade, pertencimento e confiança. Esse deslocamento semântico — de descrição funcional para identidade relacional — posiciona o sinal como EVOCATIVO (SUGESTIVO), ainda que no limiar inferior dessa categoria. A marca sugere a natureza do serviço sem descrevê-lo tecnicamente: não diz "marketplace", não diz "orçamentos", não diz "intermediação" — evoca a ideia de parceria dentro do universo condominial. O registro é viável, porém a proteção conferida será mais estreita que a de marcas fantasiosas ou arbitrárias, e o titular deverá aceitar a coexistência com marcas que utilizem os termos "parceiros" ou "condomínio" isoladamente ou em combinações distintas. A estratégia visual — logotipo com elementos gráficos diferenciadores — será determinante para robustecer a identidade marcária perante o INPI.</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"Parceiros do Condomínio" foi conduzida nas quatro classes de interesse (35, 36, 42 e 38) com extração completa de especificações via busca por similaridade no banco de dados do INPI. A busca pela expressão composta completa retornou zero resultados em todas as classes — nenhum depositante jamais registrou ou tentou registrar a marca "Parceiros do Condomínio" ou combinação similar que una "parceiros" ao universo condominial. A busca foi então ampliada para o radical "PARCEIROS", que constitui o elemento distintivo principal do sinal, revelando um universo de 1.074 processos em todas as classes. Após filtragem rigorosa — eliminação de marcas mortas (arquivadas, extintas, indeferidas), exclusão de resultados sem similaridade fonética (fuzzy matches como "Palheiros", "Carneiros", "Cardeiros") e análise de afinidade de especificação — restaram 64 anterioridades relevantes para exame detalhado: 30 na Classe 35, 6 na Classe 36, 16 na Classe 42 e 1 na Classe 38, além de 11 em classes adjacentes com afinidade temática.</w:t>
      </w:r>
    </w:p>
    <w:p>
      <w:pPr>
        <w:spacing w:after="240" w:line="360" w:lineRule="auto"/>
        <w:ind w:firstLine="1701"/>
        <w:jc w:val="both"/>
      </w:pPr>
      <w:r>
        <w:rPr>
          <w:rFonts w:ascii="Sora" w:hAnsi="Sora" w:eastAsia="Sora" w:cs="Sora"/>
          <w:b w:val="0"/>
          <w:caps w:val="0"/>
          <w:color w:val="595959"/>
          <w:sz w:val="24"/>
          <w:u w:val="none"/>
        </w:rPr>
        <w:t>O cenário que se apresenta é de um radical marcário profundamente diluído no comércio brasileiro. O vocábulo "Parceiros" — e suas variações "Parceiro", "Parceira" — é empregado por centenas de titulares distintos, em dezenas de segmentos, sem que o INPI tenha jamais reconhecido a qualquer deles exclusividade sobre o termo isolado. Essa proliferação configura o que a doutrina denomina "marca comum" ou de "distintividade mitigada": o radical é tão difundido que nenhum titular pode reivindicar monopólio fora de sua exata especificação. Essa constatação é o alicerce da tese defensiva que sustenta o registro de "Parceiros do Condomínio" — o complemento locativo "do Condomínio" não apenas diferencia graficamente e foneticamente, mas delimita um segmento de atuação que nenhuma anterioridade ocupa.</w:t>
      </w:r>
    </w:p>
    <w:p>
      <w:pPr>
        <w:spacing w:after="240" w:line="360" w:lineRule="auto"/>
        <w:ind w:firstLine="1701"/>
        <w:jc w:val="both"/>
      </w:pPr>
      <w:r>
        <w:rPr>
          <w:rFonts w:ascii="Sora" w:hAnsi="Sora" w:eastAsia="Sora" w:cs="Sora"/>
          <w:b w:val="0"/>
          <w:caps w:val="0"/>
          <w:color w:val="595959"/>
          <w:sz w:val="24"/>
          <w:u w:val="none"/>
        </w:rPr>
        <w:t xml:space="preserve">Na Classe 35, a densidade é a mais expressiva do dossiê, com 30 anterioridades relevantes, porém nenhuma direcionada ao segmento condominial. A anterioridade de maior proximidade estrutural é </w:t>
      </w:r>
      <w:r>
        <w:rPr>
          <w:rFonts w:ascii="Sora" w:hAnsi="Sora" w:eastAsia="Sora" w:cs="Sora"/>
          <w:b/>
          <w:caps w:val="0"/>
          <w:color w:val="595959"/>
          <w:sz w:val="24"/>
          <w:u w:val="none"/>
        </w:rPr>
        <w:t>"Parceiro da Natureza"</w:t>
      </w:r>
      <w:r>
        <w:rPr>
          <w:rFonts w:ascii="Sora" w:hAnsi="Sora" w:eastAsia="Sora" w:cs="Sora"/>
          <w:b w:val="0"/>
          <w:caps w:val="0"/>
          <w:color w:val="595959"/>
          <w:sz w:val="24"/>
          <w:u w:val="none"/>
        </w:rPr>
        <w:t xml:space="preserve"> (Proc. 936471921), de titularidade de COOPERE WEB LTDA, atualmente aguardando exame de mérito, com especificação abrangente que inclui "administração comercial", "agenciamento de mercadoria [intermediação]", "provimento de mercado on-line para compradores e vendedores de produtos e serviços [marketplace]" e, notavelmente, termos como "administração de condomínio" e "serviços de síndico" no escopo amplo de sua especificação. A similaridade fonética entre "Parceiro da Natureza" e "Parceiros do Condomínio" é apenas parcial — compartilham o radical "Parceiro(s)" mas divergem completamente no complemento ("da Natureza" vs. "do Condomínio"), na extensão (singular vs. plural) e no campo ideológico (ecologia/sustentabilidade vs. gestão condominial). A defesa contra eventual colidência é robusta: o elemento "PARCEIRO" é genérico e de apropriação impossível; o conjunto "Parceiro da Natureza" evoca uma identidade completamente distinta de "Parceiros do Condomínio"; e a especificação da anterioridade, embora ampla, é claramente voltada a um ecossistema comercial genérico e não a um marketplace especializado de serviços condominiais. O risco existe pela amplitude da especificação, mas a Tese da Especialidade e a diferenciação do conjunto marcário sustentam a convivência.</w:t>
      </w:r>
    </w:p>
    <w:p>
      <w:pPr>
        <w:spacing w:after="240" w:line="360" w:lineRule="auto"/>
        <w:ind w:firstLine="1701"/>
        <w:jc w:val="both"/>
      </w:pPr>
      <w:r>
        <w:rPr>
          <w:rFonts w:ascii="Sora" w:hAnsi="Sora" w:eastAsia="Sora" w:cs="Sora"/>
          <w:b w:val="0"/>
          <w:caps w:val="0"/>
          <w:color w:val="595959"/>
          <w:sz w:val="24"/>
          <w:u w:val="none"/>
        </w:rPr>
        <w:t xml:space="preserve">Ainda na Classe 35, a marca </w:t>
      </w:r>
      <w:r>
        <w:rPr>
          <w:rFonts w:ascii="Sora" w:hAnsi="Sora" w:eastAsia="Sora" w:cs="Sora"/>
          <w:b/>
          <w:caps w:val="0"/>
          <w:color w:val="595959"/>
          <w:sz w:val="24"/>
          <w:u w:val="none"/>
        </w:rPr>
        <w:t>"Projeto Parceiros dos Estudantes"</w:t>
      </w:r>
      <w:r>
        <w:rPr>
          <w:rFonts w:ascii="Sora" w:hAnsi="Sora" w:eastAsia="Sora" w:cs="Sora"/>
          <w:b w:val="0"/>
          <w:caps w:val="0"/>
          <w:color w:val="595959"/>
          <w:sz w:val="24"/>
          <w:u w:val="none"/>
        </w:rPr>
        <w:t xml:space="preserve"> (Proc. 906152240), de titularidade do MOVIMENTO ESTUDANTIL INDEPENDENTE, com registro em vigor, apresenta a estrutura "Parceiros dos [complemento]" que mais se aproxima do padrão "Parceiros do Condomínio". Contudo, a especificação é restrita a "atualização de material publicitário", "marketing" e "organização de exposições para fins comerciais ou publicitários" — universo completamente estranho à intermediação de serviços condominiais. A coexistência é pacífica e, mais que isso, serve como precedente favorável: se o INPI permitiu "Parceiros dos Estudantes" convivendo com dezenas de outras marcas "Parceiros", a mesma lógica se aplica a "Parceiros do Condomínio".</w:t>
      </w:r>
    </w:p>
    <w:p>
      <w:pPr>
        <w:spacing w:after="240" w:line="360" w:lineRule="auto"/>
        <w:ind w:firstLine="1701"/>
        <w:jc w:val="both"/>
      </w:pPr>
      <w:r>
        <w:rPr>
          <w:rFonts w:ascii="Sora" w:hAnsi="Sora" w:eastAsia="Sora" w:cs="Sora"/>
          <w:b w:val="0"/>
          <w:caps w:val="0"/>
          <w:color w:val="595959"/>
          <w:sz w:val="24"/>
          <w:u w:val="none"/>
        </w:rPr>
        <w:t xml:space="preserve">A marca </w:t>
      </w:r>
      <w:r>
        <w:rPr>
          <w:rFonts w:ascii="Sora" w:hAnsi="Sora" w:eastAsia="Sora" w:cs="Sora"/>
          <w:b/>
          <w:caps w:val="0"/>
          <w:color w:val="595959"/>
          <w:sz w:val="24"/>
          <w:u w:val="none"/>
        </w:rPr>
        <w:t>"REDE DE PARCEIRAS"</w:t>
      </w:r>
      <w:r>
        <w:rPr>
          <w:rFonts w:ascii="Sora" w:hAnsi="Sora" w:eastAsia="Sora" w:cs="Sora"/>
          <w:b w:val="0"/>
          <w:caps w:val="0"/>
          <w:color w:val="595959"/>
          <w:sz w:val="24"/>
          <w:u w:val="none"/>
        </w:rPr>
        <w:t xml:space="preserve"> (Proc. 917200500), registrada pela CÂMARA DE DIRIGENTES LOJISTAS DE PORTO ALEGRE, com registro em vigor na Classe 35, possui especificação em "administração de programas de fidelidade de consumidores", "consultoria em gestão de negócios" e "organização de feiras e exposições com fins comerciais". Embora o radical "Parceira" esteja presente, a diferenciação é tripla: gênero (feminino vs. masculino plural), complemento ausente vs. "do Condomínio" e segmento (fidelização de lojistas vs. marketplace condominial). O risco é baixo apesar da classificação formal.</w:t>
      </w:r>
    </w:p>
    <w:p>
      <w:pPr>
        <w:spacing w:after="240" w:line="360" w:lineRule="auto"/>
        <w:ind w:firstLine="1701"/>
        <w:jc w:val="both"/>
      </w:pPr>
      <w:r>
        <w:rPr>
          <w:rFonts w:ascii="Sora" w:hAnsi="Sora" w:eastAsia="Sora" w:cs="Sora"/>
          <w:b w:val="0"/>
          <w:caps w:val="0"/>
          <w:color w:val="595959"/>
          <w:sz w:val="24"/>
          <w:u w:val="none"/>
        </w:rPr>
        <w:t xml:space="preserve">O titular PARCEIRO DA CONSTRUÇÃO LTDA detém múltiplos registros em vigor nas Classes 35 e 42 sob a marca </w:t>
      </w:r>
      <w:r>
        <w:rPr>
          <w:rFonts w:ascii="Sora" w:hAnsi="Sora" w:eastAsia="Sora" w:cs="Sora"/>
          <w:b/>
          <w:caps w:val="0"/>
          <w:color w:val="595959"/>
          <w:sz w:val="24"/>
          <w:u w:val="none"/>
        </w:rPr>
        <w:t>"Parceiro da Construção"</w:t>
      </w:r>
      <w:r>
        <w:rPr>
          <w:rFonts w:ascii="Sora" w:hAnsi="Sora" w:eastAsia="Sora" w:cs="Sora"/>
          <w:b w:val="0"/>
          <w:caps w:val="0"/>
          <w:color w:val="595959"/>
          <w:sz w:val="24"/>
          <w:u w:val="none"/>
        </w:rPr>
        <w:t xml:space="preserve"> (Procs. 927449323, 927449722, 921685254 na Classe 35; 927449544, 927449854, 928241718, 928241823 na Classe 42). Na Classe 35, a especificação abrange "comércio de materiais de construção metálicos e não metálicos", "promoção de venda para terceiros" e "comerciais de rádio e televisão". Na Classe 42, a especificação cobre "software como serviço [SaaS]", "desenvolvimento de software", "hospedagem de plataformas na internet" e "consultoria em software de computador". Trata-se da anterioridade de maior afinidade mercadológica, pois opera no ecossistema de construção civil — segmento que tangencia o universo condominial, já que muitos dos serviços intermediados pela plataforma de "Parceiros do Condomínio" são de natureza construtiva (elétrica, hidráulica, reforma). A análise exige precisão: "Parceiro da Construção" comercializa materiais de construção e oferece software para esse comércio; "Parceiros do Condomínio" intermedia prestadores de serviços para condomínios. São pontas distintas da cadeia — um vende insumos, o outro conecta síndicos a prestadores. A diferenciação fonética é clara ("da Construção" vs. "do Condomínio"), a diferenciação ideológica é nítida (comércio de materiais vs. marketplace de serviços), e a coexistência de seis registros ativos em duas classes demonstra que o INPI já validou a apropriabilidade do padrão "Parceiro(s) + locativo" por múltiplos titulares — precedente isonômico que beneficia diretamente o depósito pretendido.</w:t>
      </w:r>
    </w:p>
    <w:p>
      <w:pPr>
        <w:spacing w:after="240" w:line="360" w:lineRule="auto"/>
        <w:ind w:firstLine="1701"/>
        <w:jc w:val="both"/>
      </w:pPr>
      <w:r>
        <w:rPr>
          <w:rFonts w:ascii="Sora" w:hAnsi="Sora" w:eastAsia="Sora" w:cs="Sora"/>
          <w:b w:val="0"/>
          <w:caps w:val="0"/>
          <w:color w:val="595959"/>
          <w:sz w:val="24"/>
          <w:u w:val="none"/>
        </w:rPr>
        <w:t xml:space="preserve">Na Classe 35, a marca </w:t>
      </w:r>
      <w:r>
        <w:rPr>
          <w:rFonts w:ascii="Sora" w:hAnsi="Sora" w:eastAsia="Sora" w:cs="Sora"/>
          <w:b/>
          <w:caps w:val="0"/>
          <w:color w:val="595959"/>
          <w:sz w:val="24"/>
          <w:u w:val="none"/>
        </w:rPr>
        <w:t>"PARCEIROS"</w:t>
      </w:r>
      <w:r>
        <w:rPr>
          <w:rFonts w:ascii="Sora" w:hAnsi="Sora" w:eastAsia="Sora" w:cs="Sora"/>
          <w:b w:val="0"/>
          <w:caps w:val="0"/>
          <w:color w:val="595959"/>
          <w:sz w:val="24"/>
          <w:u w:val="none"/>
        </w:rPr>
        <w:t xml:space="preserve"> pura (Proc. 935040471), de titularidade da LOGGI TECNOLOGIA LTDA., com registro em vigor, apresenta especificação em "serviços de intermediação e agenciamento de serviços e negócios comerciais", "sistematização de informações em bancos de dados" e "promoção de vendas". Apesar de o radical ser idêntico ao elemento principal do sinal pretendido, o conjunto "Parceiros do Condomínio" se diferencia pelo complemento locativo que restringe o âmbito de atuação. A própria existência de um registro "PARCEIROS" puro na Classe 35, coexistindo com dezenas de variações ("Parceiro Gold", "Parceiro Magalu", "Parceiros de Valor", "Parceiros e Negócios.com"), atesta que o INPI trata o vocábulo como de baixa distintividade, admitindo ampla coexistência.</w:t>
      </w:r>
    </w:p>
    <w:p>
      <w:pPr>
        <w:spacing w:after="240" w:line="360" w:lineRule="auto"/>
        <w:ind w:firstLine="1701"/>
        <w:jc w:val="both"/>
      </w:pPr>
      <w:r>
        <w:rPr>
          <w:rFonts w:ascii="Sora" w:hAnsi="Sora" w:eastAsia="Sora" w:cs="Sora"/>
          <w:b w:val="0"/>
          <w:caps w:val="0"/>
          <w:color w:val="595959"/>
          <w:sz w:val="24"/>
          <w:u w:val="none"/>
        </w:rPr>
        <w:t xml:space="preserve">As marcas </w:t>
      </w:r>
      <w:r>
        <w:rPr>
          <w:rFonts w:ascii="Sora" w:hAnsi="Sora" w:eastAsia="Sora" w:cs="Sora"/>
          <w:b/>
          <w:caps w:val="0"/>
          <w:color w:val="595959"/>
          <w:sz w:val="24"/>
          <w:u w:val="none"/>
        </w:rPr>
        <w:t>"PARCEIRO GOLD"</w:t>
      </w:r>
      <w:r>
        <w:rPr>
          <w:rFonts w:ascii="Sora" w:hAnsi="Sora" w:eastAsia="Sora" w:cs="Sora"/>
          <w:b w:val="0"/>
          <w:caps w:val="0"/>
          <w:color w:val="595959"/>
          <w:sz w:val="24"/>
          <w:u w:val="none"/>
        </w:rPr>
        <w:t xml:space="preserve"> (Proc. 934800936, Classe 35, e Proc. 939857723, Classe 42), de titularidade da 030 MARCAS E PATENTES S.A., apresentam especificação em "marketplace" e "software" respectivamente. Na Classe 35, a especificação é "administração de empresa", "provimento de mercado on-line para compradores e vendedores de produtos e serviços [marketplace]" e "publicidade". Na Classe 42, cobre "aluguel de software", "armazenamento eletrônico de dados" e "hospedagem de plataformas de internet". A diferenciação com "Parceiros do Condomínio" é segura: "Gold" vs. "do Condomínio" são complementos completamente distintos, e a especificação genérica de marketplace da anterioridade não está direcionada ao segmento condominial.</w:t>
      </w:r>
    </w:p>
    <w:p>
      <w:pPr>
        <w:spacing w:after="240" w:line="360" w:lineRule="auto"/>
        <w:ind w:firstLine="1701"/>
        <w:jc w:val="both"/>
      </w:pPr>
      <w:r>
        <w:rPr>
          <w:rFonts w:ascii="Sora" w:hAnsi="Sora" w:eastAsia="Sora" w:cs="Sora"/>
          <w:b w:val="0"/>
          <w:caps w:val="0"/>
          <w:color w:val="595959"/>
          <w:sz w:val="24"/>
          <w:u w:val="none"/>
        </w:rPr>
        <w:t xml:space="preserve">A marca </w:t>
      </w:r>
      <w:r>
        <w:rPr>
          <w:rFonts w:ascii="Sora" w:hAnsi="Sora" w:eastAsia="Sora" w:cs="Sora"/>
          <w:b/>
          <w:caps w:val="0"/>
          <w:color w:val="595959"/>
          <w:sz w:val="24"/>
          <w:u w:val="none"/>
        </w:rPr>
        <w:t>"PARCEIRO BEES"</w:t>
      </w:r>
      <w:r>
        <w:rPr>
          <w:rFonts w:ascii="Sora" w:hAnsi="Sora" w:eastAsia="Sora" w:cs="Sora"/>
          <w:b w:val="0"/>
          <w:caps w:val="0"/>
          <w:color w:val="595959"/>
          <w:sz w:val="24"/>
          <w:u w:val="none"/>
        </w:rPr>
        <w:t xml:space="preserve"> (Proc. 919780415 na Classe 35 e Proc. 919780539 na Classe 42), de titularidade da BEES GLOBAL AG (braço tecnológico da Ambev), possui na Classe 35 especificação em "vendas varejistas e atacadistas de bens de consumo através de software aplicativo para comércio eletrônico" e na Classe 42 "SaaS e PaaS relacionados a bens de consumo" e "mecanismos de busca para encomenda e entrega de bens de consumo". O segmento é radicalmente distinto: distribuição de bebidas e bens de consumo, sem qualquer tangência com serviços condominiais. A diferenciação é absoluta tanto no nome quanto na especificação.</w:t>
      </w:r>
    </w:p>
    <w:p>
      <w:pPr>
        <w:spacing w:after="240" w:line="360" w:lineRule="auto"/>
        <w:ind w:firstLine="1701"/>
        <w:jc w:val="both"/>
      </w:pPr>
      <w:r>
        <w:rPr>
          <w:rFonts w:ascii="Sora" w:hAnsi="Sora" w:eastAsia="Sora" w:cs="Sora"/>
          <w:b w:val="0"/>
          <w:caps w:val="0"/>
          <w:color w:val="595959"/>
          <w:sz w:val="24"/>
          <w:u w:val="none"/>
        </w:rPr>
        <w:t xml:space="preserve">Na sequência da Classe 35, destacam-se ainda </w:t>
      </w:r>
      <w:r>
        <w:rPr>
          <w:rFonts w:ascii="Sora" w:hAnsi="Sora" w:eastAsia="Sora" w:cs="Sora"/>
          <w:b/>
          <w:caps w:val="0"/>
          <w:color w:val="595959"/>
          <w:sz w:val="24"/>
          <w:u w:val="none"/>
        </w:rPr>
        <w:t>"PARCEIRO MAGALU"</w:t>
      </w:r>
      <w:r>
        <w:rPr>
          <w:rFonts w:ascii="Sora" w:hAnsi="Sora" w:eastAsia="Sora" w:cs="Sora"/>
          <w:b w:val="0"/>
          <w:caps w:val="0"/>
          <w:color w:val="595959"/>
          <w:sz w:val="24"/>
          <w:u w:val="none"/>
        </w:rPr>
        <w:t xml:space="preserve"> (Proc. 920453376), de titularidade da MAGAZINE LUIZA S/A, com especificação em "intermediação de negócios e contratos" e "comércio varejista" — segmento de varejo generalista sem afinidade condominial; </w:t>
      </w:r>
      <w:r>
        <w:rPr>
          <w:rFonts w:ascii="Sora" w:hAnsi="Sora" w:eastAsia="Sora" w:cs="Sora"/>
          <w:b/>
          <w:caps w:val="0"/>
          <w:color w:val="595959"/>
          <w:sz w:val="24"/>
          <w:u w:val="none"/>
        </w:rPr>
        <w:t>"PARCEIRO TORCEDOR"</w:t>
      </w:r>
      <w:r>
        <w:rPr>
          <w:rFonts w:ascii="Sora" w:hAnsi="Sora" w:eastAsia="Sora" w:cs="Sora"/>
          <w:b w:val="0"/>
          <w:caps w:val="0"/>
          <w:color w:val="595959"/>
          <w:sz w:val="24"/>
          <w:u w:val="none"/>
        </w:rPr>
        <w:t xml:space="preserve"> (Proc. 920265324), de titularidade da NS2.COM INTERNET S.A., voltado ao universo esportivo; </w:t>
      </w:r>
      <w:r>
        <w:rPr>
          <w:rFonts w:ascii="Sora" w:hAnsi="Sora" w:eastAsia="Sora" w:cs="Sora"/>
          <w:b/>
          <w:caps w:val="0"/>
          <w:color w:val="595959"/>
          <w:sz w:val="24"/>
          <w:u w:val="none"/>
        </w:rPr>
        <w:t>"B PARCEIRO BARTOFIL"</w:t>
      </w:r>
      <w:r>
        <w:rPr>
          <w:rFonts w:ascii="Sora" w:hAnsi="Sora" w:eastAsia="Sora" w:cs="Sora"/>
          <w:b w:val="0"/>
          <w:caps w:val="0"/>
          <w:color w:val="595959"/>
          <w:sz w:val="24"/>
          <w:u w:val="none"/>
        </w:rPr>
        <w:t xml:space="preserve"> (Proc. 937764744), de titularidade da BARTOFIL VAREJO S/A, com especificação em "comércio no atacado e varejo, intermediação de negócios, provimento de mercado on-line [marketplace]" — marketplace genérico de varejo, sem foco condominial; </w:t>
      </w:r>
      <w:r>
        <w:rPr>
          <w:rFonts w:ascii="Sora" w:hAnsi="Sora" w:eastAsia="Sora" w:cs="Sora"/>
          <w:b/>
          <w:caps w:val="0"/>
          <w:color w:val="595959"/>
          <w:sz w:val="24"/>
          <w:u w:val="none"/>
        </w:rPr>
        <w:t>"PCP PARCEIROS CONECTA PARCEIROS"</w:t>
      </w:r>
      <w:r>
        <w:rPr>
          <w:rFonts w:ascii="Sora" w:hAnsi="Sora" w:eastAsia="Sora" w:cs="Sora"/>
          <w:b w:val="0"/>
          <w:caps w:val="0"/>
          <w:color w:val="595959"/>
          <w:sz w:val="24"/>
          <w:u w:val="none"/>
        </w:rPr>
        <w:t xml:space="preserve"> (Proc. 937224480), aguardando mérito, com especificação em "administração comercial" e "marketplace" genérico; </w:t>
      </w:r>
      <w:r>
        <w:rPr>
          <w:rFonts w:ascii="Sora" w:hAnsi="Sora" w:eastAsia="Sora" w:cs="Sora"/>
          <w:b/>
          <w:caps w:val="0"/>
          <w:color w:val="595959"/>
          <w:sz w:val="24"/>
          <w:u w:val="none"/>
        </w:rPr>
        <w:t>"PARCEIROS E NEGÓCIOS.COM"</w:t>
      </w:r>
      <w:r>
        <w:rPr>
          <w:rFonts w:ascii="Sora" w:hAnsi="Sora" w:eastAsia="Sora" w:cs="Sora"/>
          <w:b w:val="0"/>
          <w:caps w:val="0"/>
          <w:color w:val="595959"/>
          <w:sz w:val="24"/>
          <w:u w:val="none"/>
        </w:rPr>
        <w:t xml:space="preserve"> (Proc. 920033784), com especificação em "agenciamento de mercadoria [intermediação]" e "assessoria em distribuição comercial"; </w:t>
      </w:r>
      <w:r>
        <w:rPr>
          <w:rFonts w:ascii="Sora" w:hAnsi="Sora" w:eastAsia="Sora" w:cs="Sora"/>
          <w:b/>
          <w:caps w:val="0"/>
          <w:color w:val="595959"/>
          <w:sz w:val="24"/>
          <w:u w:val="none"/>
        </w:rPr>
        <w:t>"PARCEIROS DE VALOR"</w:t>
      </w:r>
      <w:r>
        <w:rPr>
          <w:rFonts w:ascii="Sora" w:hAnsi="Sora" w:eastAsia="Sora" w:cs="Sora"/>
          <w:b w:val="0"/>
          <w:caps w:val="0"/>
          <w:color w:val="595959"/>
          <w:sz w:val="24"/>
          <w:u w:val="none"/>
        </w:rPr>
        <w:t xml:space="preserve"> (Proc. 928143902), de cooperativa de crédito, com especificação similar; e </w:t>
      </w:r>
      <w:r>
        <w:rPr>
          <w:rFonts w:ascii="Sora" w:hAnsi="Sora" w:eastAsia="Sora" w:cs="Sora"/>
          <w:b/>
          <w:caps w:val="0"/>
          <w:color w:val="595959"/>
          <w:sz w:val="24"/>
          <w:u w:val="none"/>
        </w:rPr>
        <w:t>"PARCEIRO DO LAR"</w:t>
      </w:r>
      <w:r>
        <w:rPr>
          <w:rFonts w:ascii="Sora" w:hAnsi="Sora" w:eastAsia="Sora" w:cs="Sora"/>
          <w:b w:val="0"/>
          <w:caps w:val="0"/>
          <w:color w:val="595959"/>
          <w:sz w:val="24"/>
          <w:u w:val="none"/>
        </w:rPr>
        <w:t xml:space="preserve"> (Proc. 930273362), de titularidade da G M D PIAGGE UTILIDADES, com especificação em "assessoria ao consumidor via websites" e "provimento de mercado on-line para compradores e vendedores de produtos [marketplace]" — esta última, apesar do locativo "do Lar" que evoca o universo residencial, opera em "comércio de utilidades domésticas" e não em intermediação de serviços condominiais. A afinidade semântica entre "lar" e "condomínio" é a mais próxima dentre as anterioridades da Classe 35, mas a especificação é completamente diversa: comércio de produtos vs. marketplace de serviços. A coexistência é sustentável pela Tese da Especialidade.</w:t>
      </w:r>
    </w:p>
    <w:p>
      <w:pPr>
        <w:spacing w:after="240" w:line="360" w:lineRule="auto"/>
        <w:ind w:firstLine="1701"/>
        <w:jc w:val="both"/>
      </w:pPr>
      <w:r>
        <w:rPr>
          <w:rFonts w:ascii="Sora" w:hAnsi="Sora" w:eastAsia="Sora" w:cs="Sora"/>
          <w:b w:val="0"/>
          <w:caps w:val="0"/>
          <w:color w:val="595959"/>
          <w:sz w:val="24"/>
          <w:u w:val="none"/>
        </w:rPr>
        <w:t xml:space="preserve">Outras marcas da Classe 35 completam o panorama de diluição: </w:t>
      </w:r>
      <w:r>
        <w:rPr>
          <w:rFonts w:ascii="Sora" w:hAnsi="Sora" w:eastAsia="Sora" w:cs="Sora"/>
          <w:b/>
          <w:caps w:val="0"/>
          <w:color w:val="595959"/>
          <w:sz w:val="24"/>
          <w:u w:val="none"/>
        </w:rPr>
        <w:t>"Loggi Parceiro"</w:t>
      </w:r>
      <w:r>
        <w:rPr>
          <w:rFonts w:ascii="Sora" w:hAnsi="Sora" w:eastAsia="Sora" w:cs="Sora"/>
          <w:b w:val="0"/>
          <w:caps w:val="0"/>
          <w:color w:val="595959"/>
          <w:sz w:val="24"/>
          <w:u w:val="none"/>
        </w:rPr>
        <w:t xml:space="preserve"> (Proc. 934657815), da LOGGI TECNOLOGIA LTDA., em intermediação de logística; </w:t>
      </w:r>
      <w:r>
        <w:rPr>
          <w:rFonts w:ascii="Sora" w:hAnsi="Sora" w:eastAsia="Sora" w:cs="Sora"/>
          <w:b/>
          <w:caps w:val="0"/>
          <w:color w:val="595959"/>
          <w:sz w:val="24"/>
          <w:u w:val="none"/>
        </w:rPr>
        <w:t>"PARCEIRO DO CRIADOR ASSESSORIA E CONSULTORIA"</w:t>
      </w:r>
      <w:r>
        <w:rPr>
          <w:rFonts w:ascii="Sora" w:hAnsi="Sora" w:eastAsia="Sora" w:cs="Sora"/>
          <w:b w:val="0"/>
          <w:caps w:val="0"/>
          <w:color w:val="595959"/>
          <w:sz w:val="24"/>
          <w:u w:val="none"/>
        </w:rPr>
        <w:t xml:space="preserve"> (Proc. 918931193), do INSTITUTO CACILDA JUNIA LTDA., voltada a assessoria no agronegócio; </w:t>
      </w:r>
      <w:r>
        <w:rPr>
          <w:rFonts w:ascii="Sora" w:hAnsi="Sora" w:eastAsia="Sora" w:cs="Sora"/>
          <w:b/>
          <w:caps w:val="0"/>
          <w:color w:val="595959"/>
          <w:sz w:val="24"/>
          <w:u w:val="none"/>
        </w:rPr>
        <w:t>"Contador Parceiro dos Empreendedores"</w:t>
      </w:r>
      <w:r>
        <w:rPr>
          <w:rFonts w:ascii="Sora" w:hAnsi="Sora" w:eastAsia="Sora" w:cs="Sora"/>
          <w:b w:val="0"/>
          <w:caps w:val="0"/>
          <w:color w:val="595959"/>
          <w:sz w:val="24"/>
          <w:u w:val="none"/>
        </w:rPr>
        <w:t xml:space="preserve"> (Proc. 936416459), de EDSON SILVA GONÇALVES, em consultoria contábil; </w:t>
      </w:r>
      <w:r>
        <w:rPr>
          <w:rFonts w:ascii="Sora" w:hAnsi="Sora" w:eastAsia="Sora" w:cs="Sora"/>
          <w:b/>
          <w:caps w:val="0"/>
          <w:color w:val="595959"/>
          <w:sz w:val="24"/>
          <w:u w:val="none"/>
        </w:rPr>
        <w:t>"PARCEIRO ASSISTENCIAL"</w:t>
      </w:r>
      <w:r>
        <w:rPr>
          <w:rFonts w:ascii="Sora" w:hAnsi="Sora" w:eastAsia="Sora" w:cs="Sora"/>
          <w:b w:val="0"/>
          <w:caps w:val="0"/>
          <w:color w:val="595959"/>
          <w:sz w:val="24"/>
          <w:u w:val="none"/>
        </w:rPr>
        <w:t xml:space="preserve"> (Proc. 921514280), da HUGO PORTO TANNUS, em marketplace de produtos de saúde; </w:t>
      </w:r>
      <w:r>
        <w:rPr>
          <w:rFonts w:ascii="Sora" w:hAnsi="Sora" w:eastAsia="Sora" w:cs="Sora"/>
          <w:b/>
          <w:caps w:val="0"/>
          <w:color w:val="595959"/>
          <w:sz w:val="24"/>
          <w:u w:val="none"/>
        </w:rPr>
        <w:t>"CLINIC LOG o parceiro essencial da sua clínica"</w:t>
      </w:r>
      <w:r>
        <w:rPr>
          <w:rFonts w:ascii="Sora" w:hAnsi="Sora" w:eastAsia="Sora" w:cs="Sora"/>
          <w:b w:val="0"/>
          <w:caps w:val="0"/>
          <w:color w:val="595959"/>
          <w:sz w:val="24"/>
          <w:u w:val="none"/>
        </w:rPr>
        <w:t xml:space="preserve"> (Proc. 939950065), em comércio de material de limpeza e sanitário; </w:t>
      </w:r>
      <w:r>
        <w:rPr>
          <w:rFonts w:ascii="Sora" w:hAnsi="Sora" w:eastAsia="Sora" w:cs="Sora"/>
          <w:b/>
          <w:caps w:val="0"/>
          <w:color w:val="595959"/>
          <w:sz w:val="24"/>
          <w:u w:val="none"/>
        </w:rPr>
        <w:t>"LOJA DO PARCEIRO"</w:t>
      </w:r>
      <w:r>
        <w:rPr>
          <w:rFonts w:ascii="Sora" w:hAnsi="Sora" w:eastAsia="Sora" w:cs="Sora"/>
          <w:b w:val="0"/>
          <w:caps w:val="0"/>
          <w:color w:val="595959"/>
          <w:sz w:val="24"/>
          <w:u w:val="none"/>
        </w:rPr>
        <w:t xml:space="preserve"> (Proc. 937425370), em e-commerce de eletroeletrônicos; </w:t>
      </w:r>
      <w:r>
        <w:rPr>
          <w:rFonts w:ascii="Sora" w:hAnsi="Sora" w:eastAsia="Sora" w:cs="Sora"/>
          <w:b/>
          <w:caps w:val="0"/>
          <w:color w:val="595959"/>
          <w:sz w:val="24"/>
          <w:u w:val="none"/>
        </w:rPr>
        <w:t>"GRUPO ABR – SEU PARCEIRO DE AÇO"</w:t>
      </w:r>
      <w:r>
        <w:rPr>
          <w:rFonts w:ascii="Sora" w:hAnsi="Sora" w:eastAsia="Sora" w:cs="Sora"/>
          <w:b w:val="0"/>
          <w:caps w:val="0"/>
          <w:color w:val="595959"/>
          <w:sz w:val="24"/>
          <w:u w:val="none"/>
        </w:rPr>
        <w:t xml:space="preserve"> (Proc. 937735191), em comércio de materiais de ferragem e construção metálica; </w:t>
      </w:r>
      <w:r>
        <w:rPr>
          <w:rFonts w:ascii="Sora" w:hAnsi="Sora" w:eastAsia="Sora" w:cs="Sora"/>
          <w:b/>
          <w:caps w:val="0"/>
          <w:color w:val="595959"/>
          <w:sz w:val="24"/>
          <w:u w:val="none"/>
        </w:rPr>
        <w:t>"PARCEIRO TRANSPORTES"</w:t>
      </w:r>
      <w:r>
        <w:rPr>
          <w:rFonts w:ascii="Sora" w:hAnsi="Sora" w:eastAsia="Sora" w:cs="Sora"/>
          <w:b w:val="0"/>
          <w:caps w:val="0"/>
          <w:color w:val="595959"/>
          <w:sz w:val="24"/>
          <w:u w:val="none"/>
        </w:rPr>
        <w:t xml:space="preserve"> (Proc. 936760370), em agenciamento de importação-exportação; </w:t>
      </w:r>
      <w:r>
        <w:rPr>
          <w:rFonts w:ascii="Sora" w:hAnsi="Sora" w:eastAsia="Sora" w:cs="Sora"/>
          <w:b/>
          <w:caps w:val="0"/>
          <w:color w:val="595959"/>
          <w:sz w:val="24"/>
          <w:u w:val="none"/>
        </w:rPr>
        <w:t>"PARCEIRO TON BAHIA"</w:t>
      </w:r>
      <w:r>
        <w:rPr>
          <w:rFonts w:ascii="Sora" w:hAnsi="Sora" w:eastAsia="Sora" w:cs="Sora"/>
          <w:b w:val="0"/>
          <w:caps w:val="0"/>
          <w:color w:val="595959"/>
          <w:sz w:val="24"/>
          <w:u w:val="none"/>
        </w:rPr>
        <w:t xml:space="preserve"> (Proc. 941488691), em intermediação de negócios e marketing digital; </w:t>
      </w:r>
      <w:r>
        <w:rPr>
          <w:rFonts w:ascii="Sora" w:hAnsi="Sora" w:eastAsia="Sora" w:cs="Sora"/>
          <w:b/>
          <w:caps w:val="0"/>
          <w:color w:val="595959"/>
          <w:sz w:val="24"/>
          <w:u w:val="none"/>
        </w:rPr>
        <w:t>"RENDA COM LOJAS PARCEIRAS"</w:t>
      </w:r>
      <w:r>
        <w:rPr>
          <w:rFonts w:ascii="Sora" w:hAnsi="Sora" w:eastAsia="Sora" w:cs="Sora"/>
          <w:b w:val="0"/>
          <w:caps w:val="0"/>
          <w:color w:val="595959"/>
          <w:sz w:val="24"/>
          <w:u w:val="none"/>
        </w:rPr>
        <w:t xml:space="preserve"> (Proc. 938520490), em captação de patrocínio e marketing; </w:t>
      </w:r>
      <w:r>
        <w:rPr>
          <w:rFonts w:ascii="Sora" w:hAnsi="Sora" w:eastAsia="Sora" w:cs="Sora"/>
          <w:b/>
          <w:caps w:val="0"/>
          <w:color w:val="595959"/>
          <w:sz w:val="24"/>
          <w:u w:val="none"/>
        </w:rPr>
        <w:t>"PARCEIRO REVENDEDOR ÁGUIA BRANCA"</w:t>
      </w:r>
      <w:r>
        <w:rPr>
          <w:rFonts w:ascii="Sora" w:hAnsi="Sora" w:eastAsia="Sora" w:cs="Sora"/>
          <w:b w:val="0"/>
          <w:caps w:val="0"/>
          <w:color w:val="595959"/>
          <w:sz w:val="24"/>
          <w:u w:val="none"/>
        </w:rPr>
        <w:t xml:space="preserve"> (Proc. 938928597), em comparação de preços de passagens; </w:t>
      </w:r>
      <w:r>
        <w:rPr>
          <w:rFonts w:ascii="Sora" w:hAnsi="Sora" w:eastAsia="Sora" w:cs="Sora"/>
          <w:b/>
          <w:caps w:val="0"/>
          <w:color w:val="595959"/>
          <w:sz w:val="24"/>
          <w:u w:val="none"/>
        </w:rPr>
        <w:t>"GPS – GRANDES PARCEIROS DA SUINOCULTURA"</w:t>
      </w:r>
      <w:r>
        <w:rPr>
          <w:rFonts w:ascii="Sora" w:hAnsi="Sora" w:eastAsia="Sora" w:cs="Sora"/>
          <w:b w:val="0"/>
          <w:caps w:val="0"/>
          <w:color w:val="595959"/>
          <w:sz w:val="24"/>
          <w:u w:val="none"/>
        </w:rPr>
        <w:t xml:space="preserve"> (Proc. 939965909), em assessoria para o agronegócio; e </w:t>
      </w:r>
      <w:r>
        <w:rPr>
          <w:rFonts w:ascii="Sora" w:hAnsi="Sora" w:eastAsia="Sora" w:cs="Sora"/>
          <w:b/>
          <w:caps w:val="0"/>
          <w:color w:val="595959"/>
          <w:sz w:val="24"/>
          <w:u w:val="none"/>
        </w:rPr>
        <w:t>"Parceiro Web"</w:t>
      </w:r>
      <w:r>
        <w:rPr>
          <w:rFonts w:ascii="Sora" w:hAnsi="Sora" w:eastAsia="Sora" w:cs="Sora"/>
          <w:b w:val="0"/>
          <w:caps w:val="0"/>
          <w:color w:val="595959"/>
          <w:sz w:val="24"/>
          <w:u w:val="none"/>
        </w:rPr>
        <w:t xml:space="preserve"> (Proc. 938372203), da PH BUSINESS, em assessoria de distribuição comercial e marketing. Todas operam em segmentos completamente estranhos ao ecossistema condominial, e a mera presença do radical "Parceiro(s)" não é suficiente para configurar colidência quando as especificações não se tocam.</w:t>
      </w:r>
    </w:p>
    <w:p>
      <w:pPr>
        <w:spacing w:after="240" w:line="360" w:lineRule="auto"/>
        <w:ind w:firstLine="1701"/>
        <w:jc w:val="both"/>
      </w:pPr>
      <w:r>
        <w:rPr>
          <w:rFonts w:ascii="Sora" w:hAnsi="Sora" w:eastAsia="Sora" w:cs="Sora"/>
          <w:b w:val="0"/>
          <w:caps w:val="0"/>
          <w:color w:val="595959"/>
          <w:sz w:val="24"/>
          <w:u w:val="none"/>
        </w:rPr>
        <w:t xml:space="preserve">Na Classe 36, a investigação revelou 6 anterioridades relevantes, sendo 4 de risco médio e 2 de risco baixo. A marca </w:t>
      </w:r>
      <w:r>
        <w:rPr>
          <w:rFonts w:ascii="Sora" w:hAnsi="Sora" w:eastAsia="Sora" w:cs="Sora"/>
          <w:b/>
          <w:caps w:val="0"/>
          <w:color w:val="595959"/>
          <w:sz w:val="24"/>
          <w:u w:val="none"/>
        </w:rPr>
        <w:t>"Corretor Parceiro"</w:t>
      </w:r>
      <w:r>
        <w:rPr>
          <w:rFonts w:ascii="Sora" w:hAnsi="Sora" w:eastAsia="Sora" w:cs="Sora"/>
          <w:b w:val="0"/>
          <w:caps w:val="0"/>
          <w:color w:val="595959"/>
          <w:sz w:val="24"/>
          <w:u w:val="none"/>
        </w:rPr>
        <w:t xml:space="preserve"> (Proc. 938074776), de titularidade de EDUARDO RODRIGUES DE LUCA, aguardando exame de mérito, apresenta especificação em "administração de condomínio", "administração predial", "administração de imóveis", "corretagem imobiliária" e "avaliação imobiliária". Trata-se da anterioridade com maior sobreposição de especificação nesta classe — o termo "administração de condomínio" aparece expressamente. Contudo, a diferenciação é sustentável: "Corretor Parceiro" designa um profissional (corretor de imóveis que é parceiro), enquanto "Parceiros do Condomínio" designa uma plataforma/marketplace de serviços; a similaridade fonética entre os conjuntos é baixa; e a especificação do pretendido pode ser cirurgicamente delimitada para "marketplace de serviços para condomínios" e "intermediação de prestadores de serviços no segmento condominial", evitando sobreposição com "corretagem imobiliária" e "administração predial" no sentido tradicional.</w:t>
      </w:r>
    </w:p>
    <w:p>
      <w:pPr>
        <w:spacing w:after="240" w:line="360" w:lineRule="auto"/>
        <w:ind w:firstLine="1701"/>
        <w:jc w:val="both"/>
      </w:pPr>
      <w:r>
        <w:rPr>
          <w:rFonts w:ascii="Sora" w:hAnsi="Sora" w:eastAsia="Sora" w:cs="Sora"/>
          <w:b w:val="0"/>
          <w:caps w:val="0"/>
          <w:color w:val="595959"/>
          <w:sz w:val="24"/>
          <w:u w:val="none"/>
        </w:rPr>
        <w:t xml:space="preserve">A marca </w:t>
      </w:r>
      <w:r>
        <w:rPr>
          <w:rFonts w:ascii="Sora" w:hAnsi="Sora" w:eastAsia="Sora" w:cs="Sora"/>
          <w:b/>
          <w:caps w:val="0"/>
          <w:color w:val="595959"/>
          <w:sz w:val="24"/>
          <w:u w:val="none"/>
        </w:rPr>
        <w:t>"Contador Parceiro"</w:t>
      </w:r>
      <w:r>
        <w:rPr>
          <w:rFonts w:ascii="Sora" w:hAnsi="Sora" w:eastAsia="Sora" w:cs="Sora"/>
          <w:b w:val="0"/>
          <w:caps w:val="0"/>
          <w:color w:val="595959"/>
          <w:sz w:val="24"/>
          <w:u w:val="none"/>
        </w:rPr>
        <w:t xml:space="preserve"> (Proc. 940444909), de EDSON SILVA GONÇALVES, igualmente aguardando mérito na Classe 36, apresenta especificação espelhada — "administração de condomínio", "administração predial", "administração de imóveis". A análise é idêntica à de "Corretor Parceiro": o elemento distintivo é "Contador", não "Parceiro", e o segmento é contabilidade/administração financeira, não marketplace de serviços. A marca </w:t>
      </w:r>
      <w:r>
        <w:rPr>
          <w:rFonts w:ascii="Sora" w:hAnsi="Sora" w:eastAsia="Sora" w:cs="Sora"/>
          <w:b/>
          <w:caps w:val="0"/>
          <w:color w:val="595959"/>
          <w:sz w:val="24"/>
          <w:u w:val="none"/>
        </w:rPr>
        <w:t>"PARCEIROS DIGITAIS"</w:t>
      </w:r>
      <w:r>
        <w:rPr>
          <w:rFonts w:ascii="Sora" w:hAnsi="Sora" w:eastAsia="Sora" w:cs="Sora"/>
          <w:b w:val="0"/>
          <w:caps w:val="0"/>
          <w:color w:val="595959"/>
          <w:sz w:val="24"/>
          <w:u w:val="none"/>
        </w:rPr>
        <w:t xml:space="preserve"> (Proc. 910892571), com registro em vigor, de titularidade da CRÉDITO REAL IMÓVEIS E CONDOMÍNIOS S/A, merece atenção especial: o titular é uma empresa que opera expressamente no segmento de "imóveis e condomínios", e a especificação inclui "administração de condomínio", "corretagem" e "seguros". A proximidade de segmento é a mais significativa do dossiê nesta classe. A defesa repousa na diferenciação do conjunto marcário ("Parceiros Digitais" vs. "Parceiros do Condomínio"), na diferenciação de atividade (imobiliária/seguradora vs. marketplace de serviços) e no fato de que o próprio INPI concedeu registro a "Parceiros Digitais" no segmento condominial, o que demonstra que o radical "Parceiros" não é monopolizável mesmo dentro deste nicho. A marca </w:t>
      </w:r>
      <w:r>
        <w:rPr>
          <w:rFonts w:ascii="Sora" w:hAnsi="Sora" w:eastAsia="Sora" w:cs="Sora"/>
          <w:b/>
          <w:caps w:val="0"/>
          <w:color w:val="595959"/>
          <w:sz w:val="24"/>
          <w:u w:val="none"/>
        </w:rPr>
        <w:t>"PARCEIRO IMÓVEIS"</w:t>
      </w:r>
      <w:r>
        <w:rPr>
          <w:rFonts w:ascii="Sora" w:hAnsi="Sora" w:eastAsia="Sora" w:cs="Sora"/>
          <w:b w:val="0"/>
          <w:caps w:val="0"/>
          <w:color w:val="595959"/>
          <w:sz w:val="24"/>
          <w:u w:val="none"/>
        </w:rPr>
        <w:t xml:space="preserve"> (Proc. 912627204), da PARCEIRO IMÓVEIS LTDA., com registro em vigor, possui especificação restrita a "administração de imóveis", "corretagem imobiliária", "locação de imóveis" e "avaliação imobiliária" — atividade imobiliária pura, sem tangência com intermediação de serviços para condomínios.</w:t>
      </w:r>
    </w:p>
    <w:p>
      <w:pPr>
        <w:spacing w:after="240" w:line="360" w:lineRule="auto"/>
        <w:ind w:firstLine="1701"/>
        <w:jc w:val="both"/>
      </w:pPr>
      <w:r>
        <w:rPr>
          <w:rFonts w:ascii="Sora" w:hAnsi="Sora" w:eastAsia="Sora" w:cs="Sora"/>
          <w:b w:val="0"/>
          <w:caps w:val="0"/>
          <w:color w:val="595959"/>
          <w:sz w:val="24"/>
          <w:u w:val="none"/>
        </w:rPr>
        <w:t xml:space="preserve">Na Classe 42, a densidade é relevante com 16 anterioridades, todas de risco médio exceto uma de risco baixo. Além dos registros já analisados de </w:t>
      </w:r>
      <w:r>
        <w:rPr>
          <w:rFonts w:ascii="Sora" w:hAnsi="Sora" w:eastAsia="Sora" w:cs="Sora"/>
          <w:b/>
          <w:caps w:val="0"/>
          <w:color w:val="595959"/>
          <w:sz w:val="24"/>
          <w:u w:val="none"/>
        </w:rPr>
        <w:t>"Parceiro da Construção"</w:t>
      </w:r>
      <w:r>
        <w:rPr>
          <w:rFonts w:ascii="Sora" w:hAnsi="Sora" w:eastAsia="Sora" w:cs="Sora"/>
          <w:b w:val="0"/>
          <w:caps w:val="0"/>
          <w:color w:val="595959"/>
          <w:sz w:val="24"/>
          <w:u w:val="none"/>
        </w:rPr>
        <w:t xml:space="preserve">, destacam-se: </w:t>
      </w:r>
      <w:r>
        <w:rPr>
          <w:rFonts w:ascii="Sora" w:hAnsi="Sora" w:eastAsia="Sora" w:cs="Sora"/>
          <w:b/>
          <w:caps w:val="0"/>
          <w:color w:val="595959"/>
          <w:sz w:val="24"/>
          <w:u w:val="none"/>
        </w:rPr>
        <w:t>"PARCEIROS"</w:t>
      </w:r>
      <w:r>
        <w:rPr>
          <w:rFonts w:ascii="Sora" w:hAnsi="Sora" w:eastAsia="Sora" w:cs="Sora"/>
          <w:b w:val="0"/>
          <w:caps w:val="0"/>
          <w:color w:val="595959"/>
          <w:sz w:val="24"/>
          <w:u w:val="none"/>
        </w:rPr>
        <w:t xml:space="preserve"> puro (Proc. 935040676), da LOGGI TECNOLOGIA LTDA., aguardando recurso contra indeferimento, com especificação em "desenvolvimento de software", "hospedagem de plataformas na internet" e "SaaS" — a situação de indeferimento sob recurso enfraquece esta anterioridade como obstáculo; </w:t>
      </w:r>
      <w:r>
        <w:rPr>
          <w:rFonts w:ascii="Sora" w:hAnsi="Sora" w:eastAsia="Sora" w:cs="Sora"/>
          <w:b/>
          <w:caps w:val="0"/>
          <w:color w:val="595959"/>
          <w:sz w:val="24"/>
          <w:u w:val="none"/>
        </w:rPr>
        <w:t>"TICKET PARCEIRO"</w:t>
      </w:r>
      <w:r>
        <w:rPr>
          <w:rFonts w:ascii="Sora" w:hAnsi="Sora" w:eastAsia="Sora" w:cs="Sora"/>
          <w:b w:val="0"/>
          <w:caps w:val="0"/>
          <w:color w:val="595959"/>
          <w:sz w:val="24"/>
          <w:u w:val="none"/>
        </w:rPr>
        <w:t xml:space="preserve"> (Proc. 913500232), da EDENRED, com registro em vigor, em "exploração de plataformas para programas de fidelização" e "SaaS" — fidelização de clientela, não marketplace condominial; </w:t>
      </w:r>
      <w:r>
        <w:rPr>
          <w:rFonts w:ascii="Sora" w:hAnsi="Sora" w:eastAsia="Sora" w:cs="Sora"/>
          <w:b/>
          <w:caps w:val="0"/>
          <w:color w:val="595959"/>
          <w:sz w:val="24"/>
          <w:u w:val="none"/>
        </w:rPr>
        <w:t>"Dr Parceiro"</w:t>
      </w:r>
      <w:r>
        <w:rPr>
          <w:rFonts w:ascii="Sora" w:hAnsi="Sora" w:eastAsia="Sora" w:cs="Sora"/>
          <w:b w:val="0"/>
          <w:caps w:val="0"/>
          <w:color w:val="595959"/>
          <w:sz w:val="24"/>
          <w:u w:val="none"/>
        </w:rPr>
        <w:t xml:space="preserve"> (Proc. 941325610), da PARCEIRO INVESTIMENTOS LTDA., aguardando manifestação sobre oposição, em "armazenamento eletrônico de dados" e "criação de homepage" — saúde e tecnologia genérica; </w:t>
      </w:r>
      <w:r>
        <w:rPr>
          <w:rFonts w:ascii="Sora" w:hAnsi="Sora" w:eastAsia="Sora" w:cs="Sora"/>
          <w:b/>
          <w:caps w:val="0"/>
          <w:color w:val="595959"/>
          <w:sz w:val="24"/>
          <w:u w:val="none"/>
        </w:rPr>
        <w:t>"ID. Parceiroid"</w:t>
      </w:r>
      <w:r>
        <w:rPr>
          <w:rFonts w:ascii="Sora" w:hAnsi="Sora" w:eastAsia="Sora" w:cs="Sora"/>
          <w:b w:val="0"/>
          <w:caps w:val="0"/>
          <w:color w:val="595959"/>
          <w:sz w:val="24"/>
          <w:u w:val="none"/>
        </w:rPr>
        <w:t xml:space="preserve"> (Proc. 929378393), da ATTUALIZE TECH LTDA., com registro em vigor, em "SaaS" e "software online para gestão de empresas e parceiros colaboradores" — software de gestão empresarial, não marketplace; </w:t>
      </w:r>
      <w:r>
        <w:rPr>
          <w:rFonts w:ascii="Sora" w:hAnsi="Sora" w:eastAsia="Sora" w:cs="Sora"/>
          <w:b/>
          <w:caps w:val="0"/>
          <w:color w:val="595959"/>
          <w:sz w:val="24"/>
          <w:u w:val="none"/>
        </w:rPr>
        <w:t>"Mega Parceiros"</w:t>
      </w:r>
      <w:r>
        <w:rPr>
          <w:rFonts w:ascii="Sora" w:hAnsi="Sora" w:eastAsia="Sora" w:cs="Sora"/>
          <w:b w:val="0"/>
          <w:caps w:val="0"/>
          <w:color w:val="595959"/>
          <w:sz w:val="24"/>
          <w:u w:val="none"/>
        </w:rPr>
        <w:t xml:space="preserve"> (Proc. 934960046), da WOPUS DESENVOLVIMENTO WEB LTDA., aguardando recurso contra indeferimento, em "desenvolvimento de plataformas" e "SaaS" — plataforma genérica, sem foco condominial; </w:t>
      </w:r>
      <w:r>
        <w:rPr>
          <w:rFonts w:ascii="Sora" w:hAnsi="Sora" w:eastAsia="Sora" w:cs="Sora"/>
          <w:b/>
          <w:caps w:val="0"/>
          <w:color w:val="595959"/>
          <w:sz w:val="24"/>
          <w:u w:val="none"/>
        </w:rPr>
        <w:t>"NEOBYTE O SEU PARCEIRO EM TECNOLOGIA"</w:t>
      </w:r>
      <w:r>
        <w:rPr>
          <w:rFonts w:ascii="Sora" w:hAnsi="Sora" w:eastAsia="Sora" w:cs="Sora"/>
          <w:b w:val="0"/>
          <w:caps w:val="0"/>
          <w:color w:val="595959"/>
          <w:sz w:val="24"/>
          <w:u w:val="none"/>
        </w:rPr>
        <w:t xml:space="preserve"> (Proc. 939915936), em "consultoria em software" e "hospedagem de plataformas" — TI genérica; </w:t>
      </w:r>
      <w:r>
        <w:rPr>
          <w:rFonts w:ascii="Sora" w:hAnsi="Sora" w:eastAsia="Sora" w:cs="Sora"/>
          <w:b/>
          <w:caps w:val="0"/>
          <w:color w:val="595959"/>
          <w:sz w:val="24"/>
          <w:u w:val="none"/>
        </w:rPr>
        <w:t>"PARCEIRO AMBEV"</w:t>
      </w:r>
      <w:r>
        <w:rPr>
          <w:rFonts w:ascii="Sora" w:hAnsi="Sora" w:eastAsia="Sora" w:cs="Sora"/>
          <w:b w:val="0"/>
          <w:caps w:val="0"/>
          <w:color w:val="595959"/>
          <w:sz w:val="24"/>
          <w:u w:val="none"/>
        </w:rPr>
        <w:t xml:space="preserve"> (Proc. 920138500), da AMBEV S.A., com registro em vigor, com a especificação mais restrita do dossiê: "PaaS relacionado a cerveja" — sem qualquer afinidade; </w:t>
      </w:r>
      <w:r>
        <w:rPr>
          <w:rFonts w:ascii="Sora" w:hAnsi="Sora" w:eastAsia="Sora" w:cs="Sora"/>
          <w:b/>
          <w:caps w:val="0"/>
          <w:color w:val="595959"/>
          <w:sz w:val="24"/>
          <w:u w:val="none"/>
        </w:rPr>
        <w:t>"MEI PARCEIRO"</w:t>
      </w:r>
      <w:r>
        <w:rPr>
          <w:rFonts w:ascii="Sora" w:hAnsi="Sora" w:eastAsia="Sora" w:cs="Sora"/>
          <w:b w:val="0"/>
          <w:caps w:val="0"/>
          <w:color w:val="595959"/>
          <w:sz w:val="24"/>
          <w:u w:val="none"/>
        </w:rPr>
        <w:t xml:space="preserve"> (Proc. 939854406), em "hospedagem de plataformas de software" e "SaaS" — voltado a microempreendedores individuais; e </w:t>
      </w:r>
      <w:r>
        <w:rPr>
          <w:rFonts w:ascii="Sora" w:hAnsi="Sora" w:eastAsia="Sora" w:cs="Sora"/>
          <w:b/>
          <w:caps w:val="0"/>
          <w:color w:val="595959"/>
          <w:sz w:val="24"/>
          <w:u w:val="none"/>
        </w:rPr>
        <w:t>"Crianças como Parceiras"</w:t>
      </w:r>
      <w:r>
        <w:rPr>
          <w:rFonts w:ascii="Sora" w:hAnsi="Sora" w:eastAsia="Sora" w:cs="Sora"/>
          <w:b w:val="0"/>
          <w:caps w:val="0"/>
          <w:color w:val="595959"/>
          <w:sz w:val="24"/>
          <w:u w:val="none"/>
        </w:rPr>
        <w:t xml:space="preserve"> (Proc. 912157747), da Fundação Pio XII, em "pesquisas científicas no campo da saúde" e "SaaS" — universo médico-científico. Nenhuma dessas anterioridades opera no nicho de plataforma tecnológica para intermediação de serviços condominiais.</w:t>
      </w:r>
    </w:p>
    <w:p>
      <w:pPr>
        <w:spacing w:after="240" w:line="360" w:lineRule="auto"/>
        <w:ind w:firstLine="1701"/>
        <w:jc w:val="both"/>
      </w:pPr>
      <w:r>
        <w:rPr>
          <w:rFonts w:ascii="Sora" w:hAnsi="Sora" w:eastAsia="Sora" w:cs="Sora"/>
          <w:b w:val="0"/>
          <w:caps w:val="0"/>
          <w:color w:val="595959"/>
          <w:sz w:val="24"/>
          <w:u w:val="none"/>
        </w:rPr>
        <w:t xml:space="preserve">Na Classe 38, a investigação encontrou apenas 1 anterioridade relevante: </w:t>
      </w:r>
      <w:r>
        <w:rPr>
          <w:rFonts w:ascii="Sora" w:hAnsi="Sora" w:eastAsia="Sora" w:cs="Sora"/>
          <w:b/>
          <w:caps w:val="0"/>
          <w:color w:val="595959"/>
          <w:sz w:val="24"/>
          <w:u w:val="none"/>
        </w:rPr>
        <w:t>"PARCEIROS DA Net"</w:t>
      </w:r>
      <w:r>
        <w:rPr>
          <w:rFonts w:ascii="Sora" w:hAnsi="Sora" w:eastAsia="Sora" w:cs="Sora"/>
          <w:b w:val="0"/>
          <w:caps w:val="0"/>
          <w:color w:val="595959"/>
          <w:sz w:val="24"/>
          <w:u w:val="none"/>
        </w:rPr>
        <w:t xml:space="preserve"> (Proc. 931223601), de titularidade de JOSENILDO DA SILVA BOMFIM ME, com registro em vigor, e especificação em "aluguel de equipamentos de telecomunicação", "provimento de acesso à internet", "comunicação por redes de fibra óptica" e "transmissão de mensagens por computador". Trata-se de provedor de telecomunicações, atividade radicalmente distinta da funcionalidade de mensageria interna de um marketplace condominial. A diferenciação é tanto nominal ("da Net" vs. "do Condomínio") quanto funcional (infraestrutura de telecomunicações vs. chat embarcado em plataforma).</w:t>
      </w:r>
    </w:p>
    <w:p>
      <w:pPr>
        <w:spacing w:after="240" w:line="360" w:lineRule="auto"/>
        <w:ind w:firstLine="1701"/>
        <w:jc w:val="both"/>
      </w:pPr>
      <w:r>
        <w:rPr>
          <w:rFonts w:ascii="Sora" w:hAnsi="Sora" w:eastAsia="Sora" w:cs="Sora"/>
          <w:b w:val="0"/>
          <w:caps w:val="0"/>
          <w:color w:val="595959"/>
          <w:sz w:val="24"/>
          <w:u w:val="none"/>
        </w:rPr>
        <w:t xml:space="preserve">Nas classes adjacentes, foram identificadas anterioridades que, embora fora das classes pretendidas, merecem menção pelo padrão de coexistência que reforçam: </w:t>
      </w:r>
      <w:r>
        <w:rPr>
          <w:rFonts w:ascii="Sora" w:hAnsi="Sora" w:eastAsia="Sora" w:cs="Sora"/>
          <w:b/>
          <w:caps w:val="0"/>
          <w:color w:val="595959"/>
          <w:sz w:val="24"/>
          <w:u w:val="none"/>
        </w:rPr>
        <w:t>"PARCEIROS"</w:t>
      </w:r>
      <w:r>
        <w:rPr>
          <w:rFonts w:ascii="Sora" w:hAnsi="Sora" w:eastAsia="Sora" w:cs="Sora"/>
          <w:b w:val="0"/>
          <w:caps w:val="0"/>
          <w:color w:val="595959"/>
          <w:sz w:val="24"/>
          <w:u w:val="none"/>
        </w:rPr>
        <w:t xml:space="preserve"> puro na Classe 7 (Proc. 935040366, Loggi), </w:t>
      </w:r>
      <w:r>
        <w:rPr>
          <w:rFonts w:ascii="Sora" w:hAnsi="Sora" w:eastAsia="Sora" w:cs="Sora"/>
          <w:b/>
          <w:caps w:val="0"/>
          <w:color w:val="595959"/>
          <w:sz w:val="24"/>
          <w:u w:val="none"/>
        </w:rPr>
        <w:t>"PARCEIRO"</w:t>
      </w:r>
      <w:r>
        <w:rPr>
          <w:rFonts w:ascii="Sora" w:hAnsi="Sora" w:eastAsia="Sora" w:cs="Sora"/>
          <w:b w:val="0"/>
          <w:caps w:val="0"/>
          <w:color w:val="595959"/>
          <w:sz w:val="24"/>
          <w:u w:val="none"/>
        </w:rPr>
        <w:t xml:space="preserve"> puro nas Classes 3 e 28 (Procs. 825098394 e 825098157), </w:t>
      </w:r>
      <w:r>
        <w:rPr>
          <w:rFonts w:ascii="Sora" w:hAnsi="Sora" w:eastAsia="Sora" w:cs="Sora"/>
          <w:b/>
          <w:caps w:val="0"/>
          <w:color w:val="595959"/>
          <w:sz w:val="24"/>
          <w:u w:val="none"/>
        </w:rPr>
        <w:t>"PARCEIRO GOLD"</w:t>
      </w:r>
      <w:r>
        <w:rPr>
          <w:rFonts w:ascii="Sora" w:hAnsi="Sora" w:eastAsia="Sora" w:cs="Sora"/>
          <w:b w:val="0"/>
          <w:caps w:val="0"/>
          <w:color w:val="595959"/>
          <w:sz w:val="24"/>
          <w:u w:val="none"/>
        </w:rPr>
        <w:t xml:space="preserve"> na Classe 7 (Proc. 934800812), </w:t>
      </w:r>
      <w:r>
        <w:rPr>
          <w:rFonts w:ascii="Sora" w:hAnsi="Sora" w:eastAsia="Sora" w:cs="Sora"/>
          <w:b/>
          <w:caps w:val="0"/>
          <w:color w:val="595959"/>
          <w:sz w:val="24"/>
          <w:u w:val="none"/>
        </w:rPr>
        <w:t>"eParceiro"</w:t>
      </w:r>
      <w:r>
        <w:rPr>
          <w:rFonts w:ascii="Sora" w:hAnsi="Sora" w:eastAsia="Sora" w:cs="Sora"/>
          <w:b w:val="0"/>
          <w:caps w:val="0"/>
          <w:color w:val="595959"/>
          <w:sz w:val="24"/>
          <w:u w:val="none"/>
        </w:rPr>
        <w:t xml:space="preserve"> na Classe 7 (Proc. 934729646) e </w:t>
      </w:r>
      <w:r>
        <w:rPr>
          <w:rFonts w:ascii="Sora" w:hAnsi="Sora" w:eastAsia="Sora" w:cs="Sora"/>
          <w:b/>
          <w:caps w:val="0"/>
          <w:color w:val="595959"/>
          <w:sz w:val="24"/>
          <w:u w:val="none"/>
        </w:rPr>
        <w:t>"INTELBRAS GUARDIAN PARCEIRO"</w:t>
      </w:r>
      <w:r>
        <w:rPr>
          <w:rFonts w:ascii="Sora" w:hAnsi="Sora" w:eastAsia="Sora" w:cs="Sora"/>
          <w:b w:val="0"/>
          <w:caps w:val="0"/>
          <w:color w:val="595959"/>
          <w:sz w:val="24"/>
          <w:u w:val="none"/>
        </w:rPr>
        <w:t xml:space="preserve"> na Classe 7 (Proc. 931137144). Essa dispersão em múltiplas classes, com múltiplos titulares, consolida definitivamente o status de marca comum/diluída do radical "Parceiros".</w:t>
      </w:r>
    </w:p>
    <w:p>
      <w:pPr>
        <w:spacing w:after="240" w:line="360" w:lineRule="auto"/>
        <w:ind w:firstLine="1701"/>
        <w:jc w:val="both"/>
      </w:pPr>
      <w:r>
        <w:rPr>
          <w:rFonts w:ascii="Sora" w:hAnsi="Sora" w:eastAsia="Sora" w:cs="Sora"/>
          <w:b w:val="0"/>
          <w:caps w:val="0"/>
          <w:color w:val="595959"/>
          <w:sz w:val="24"/>
          <w:u w:val="none"/>
        </w:rPr>
        <w:t xml:space="preserve">Diante do exposto, a viabilidade de registro da marca "Parceiros do Condomínio" apresenta cenário </w:t>
      </w:r>
      <w:r>
        <w:rPr>
          <w:rFonts w:ascii="Sora" w:hAnsi="Sora" w:eastAsia="Sora" w:cs="Sora"/>
          <w:b/>
          <w:caps w:val="0"/>
          <w:color w:val="595959"/>
          <w:sz w:val="24"/>
          <w:u w:val="none"/>
        </w:rPr>
        <w:t>MUITO PROVÁVEL</w:t>
      </w:r>
      <w:r>
        <w:rPr>
          <w:rFonts w:ascii="Sora" w:hAnsi="Sora" w:eastAsia="Sora" w:cs="Sora"/>
          <w:b w:val="0"/>
          <w:caps w:val="0"/>
          <w:color w:val="595959"/>
          <w:sz w:val="24"/>
          <w:u w:val="none"/>
        </w:rPr>
        <w:t xml:space="preserve"> nas Classes 38 e 42, </w:t>
      </w:r>
      <w:r>
        <w:rPr>
          <w:rFonts w:ascii="Sora" w:hAnsi="Sora" w:eastAsia="Sora" w:cs="Sora"/>
          <w:b/>
          <w:caps w:val="0"/>
          <w:color w:val="595959"/>
          <w:sz w:val="24"/>
          <w:u w:val="none"/>
        </w:rPr>
        <w:t>PROVÁVEL</w:t>
      </w:r>
      <w:r>
        <w:rPr>
          <w:rFonts w:ascii="Sora" w:hAnsi="Sora" w:eastAsia="Sora" w:cs="Sora"/>
          <w:b w:val="0"/>
          <w:caps w:val="0"/>
          <w:color w:val="595959"/>
          <w:sz w:val="24"/>
          <w:u w:val="none"/>
        </w:rPr>
        <w:t xml:space="preserve"> nas Classes 35 e 36. O fundamento é sólido em todas as classes: nenhuma anterioridade combina o radical "Parceiros" com o segmento condominial; o termo "Parceiros" é de distintividade mitigada com mais de mil processos no INPI; a estrutura "Parceiros do [complemento]" é utilizada por dezenas de titulares distintos sem que o INPI tenha jamais vedado a convivência; e a especificação pretendida — marketplace de intermediação de serviços para condomínios — não encontra sobreposição em nenhuma anterioridade identificada. A estratégia recomendada é depositar nas quatro classes com especificações cirurgicamente delimitadas ao universo de "marketplace de serviços para condomínios", "intermediação de prestadores de serviços no segmento condominial" e "plataforma digital de conexão entre síndicos e fornecedores", evitando termos genéricos que possam sobrepor com especificações amplas de anterioridades como "Parceiro da Natureza" ou "Parceiro da Construção". A apresentação deve ser na forma mista, com identidade visual que fuja do padrão corporativo-institucional predominante entre as marcas "Parceiro(s)" existentes — recomenda-se investir em uma identidade visual que evoque comunidade e proximidade condominial (elementos arquitetônicos, silhuetas de prédios, ícones de conexão), diferenciando-se ativamente do padrão genérico de "aperto de mão" ou "selo de parceria" utilizado pela maioria das anterioridades. Caso o INPI aponte colidência com qualquer anterioridade, a defesa será pautada na Tese da Distintividade Mitigada (centenas de marcas "Parceiros" coexistindo), na Tese da Especialidade (especificações não coincidentes), no Princípio da Isonomia (se o INPI permitiu "Parceiro da Construção", "Parceiros Digitais" e "Parceiros da Net" em classes idênticas, não pode vedar "Parceiros do Condomínio") e na diferenciação do conjunto marcário completo.</w:t>
      </w:r>
    </w:p>
    <w:p>
      <w:pPr>
        <w:spacing w:before="720"/>
        <w:jc w:val="right"/>
      </w:pPr>
      <w:r>
        <w:rPr>
          <w:rFonts w:ascii="Sora" w:hAnsi="Sora" w:eastAsia="Sora" w:cs="Sora"/>
          <w:b w:val="0"/>
          <w:caps w:val="0"/>
          <w:color w:val="595959"/>
          <w:sz w:val="24"/>
          <w:u w:val="none"/>
        </w:rPr>
        <w:t>É o parecer.</w:t>
        <w:br/>
        <w:t>25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Eraldo</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