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3ED47" w14:textId="77777777" w:rsidR="00E11D12" w:rsidRPr="00A47300" w:rsidRDefault="00000000">
      <w:pPr>
        <w:spacing w:after="480"/>
        <w:jc w:val="center"/>
        <w:rPr>
          <w:lang w:val="pt-BR"/>
        </w:rPr>
      </w:pPr>
      <w:r w:rsidRPr="00A47300">
        <w:rPr>
          <w:rFonts w:ascii="Sora" w:eastAsia="Sora" w:hAnsi="Sora" w:cs="Sora"/>
          <w:b/>
          <w:caps/>
          <w:color w:val="9FEC14"/>
          <w:sz w:val="52"/>
          <w:lang w:val="pt-BR"/>
        </w:rPr>
        <w:t>LAUDO DE VIABILIDADE</w:t>
      </w:r>
    </w:p>
    <w:p w14:paraId="5F02B307" w14:textId="77777777" w:rsidR="00E11D12" w:rsidRPr="00A47300" w:rsidRDefault="00000000">
      <w:pPr>
        <w:keepNext/>
        <w:pBdr>
          <w:bottom w:val="single" w:sz="24" w:space="4" w:color="9FEC14"/>
        </w:pBdr>
        <w:spacing w:before="480" w:after="240"/>
        <w:rPr>
          <w:lang w:val="pt-BR"/>
        </w:rPr>
      </w:pPr>
      <w:r w:rsidRPr="00A47300">
        <w:rPr>
          <w:rFonts w:ascii="Sora" w:eastAsia="Sora" w:hAnsi="Sora" w:cs="Sora"/>
          <w:b/>
          <w:caps/>
          <w:color w:val="9FEC14"/>
          <w:sz w:val="32"/>
          <w:lang w:val="pt-BR"/>
        </w:rPr>
        <w:t>1. INTRODUÇÃO</w:t>
      </w:r>
    </w:p>
    <w:p w14:paraId="059B0583"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Este documento tem como objetivo avaliar a viabilidade de registrar a marca denominada “Dono.AI”,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14:paraId="272F30A2"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Independentemente do resultado, a decisão de registrar a marca cabe ao cliente. Estaremos focados em apresentar o laudo da melhor forma possível.</w:t>
      </w:r>
    </w:p>
    <w:p w14:paraId="5869799D"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14:paraId="616B4FCE"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14:paraId="6CE16E85"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Após esse procedimento, o INPI analisará as oposições apresentadas e realizará a avaliação substancial do pedido de registro da marca, assegurando-se de que esta atenda aos quatro requisitos estabelecidos. Estes requisitos são:</w:t>
      </w:r>
    </w:p>
    <w:p w14:paraId="1F59D89C"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u w:val="single"/>
          <w:lang w:val="pt-BR"/>
        </w:rPr>
        <w:lastRenderedPageBreak/>
        <w:t>VERACIDADE</w:t>
      </w:r>
      <w:r w:rsidRPr="00A47300">
        <w:rPr>
          <w:rFonts w:ascii="Sora" w:eastAsia="Sora" w:hAnsi="Sora" w:cs="Sora"/>
          <w:color w:val="595959"/>
          <w:sz w:val="24"/>
          <w:lang w:val="pt-BR"/>
        </w:rPr>
        <w:t xml:space="preserve"> - A marca não pode ter caráter enganoso que induza o público a erro quanto à origem, procedência, natureza, qualidade ou utilidade do produto ou serviço a que se destina. – Previsto no inciso X do art. 124 da LPI.</w:t>
      </w:r>
    </w:p>
    <w:p w14:paraId="54D7888D"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u w:val="single"/>
          <w:lang w:val="pt-BR"/>
        </w:rPr>
        <w:t>LICEIDADE</w:t>
      </w:r>
      <w:r w:rsidRPr="00A47300">
        <w:rPr>
          <w:rFonts w:ascii="Sora" w:eastAsia="Sora" w:hAnsi="Sora" w:cs="Sora"/>
          <w:color w:val="595959"/>
          <w:sz w:val="24"/>
          <w:lang w:val="pt-BR"/>
        </w:rPr>
        <w:t xml:space="preserve"> - Esse requisito dispõe que a marca não pode conter elementos característicos presentes em símbolos oficiais, </w:t>
      </w:r>
      <w:proofErr w:type="gramStart"/>
      <w:r w:rsidRPr="00A47300">
        <w:rPr>
          <w:rFonts w:ascii="Sora" w:eastAsia="Sora" w:hAnsi="Sora" w:cs="Sora"/>
          <w:color w:val="595959"/>
          <w:sz w:val="24"/>
          <w:lang w:val="pt-BR"/>
        </w:rPr>
        <w:t>e também</w:t>
      </w:r>
      <w:proofErr w:type="gramEnd"/>
      <w:r w:rsidRPr="00A47300">
        <w:rPr>
          <w:rFonts w:ascii="Sora" w:eastAsia="Sora" w:hAnsi="Sora" w:cs="Sora"/>
          <w:color w:val="595959"/>
          <w:sz w:val="24"/>
          <w:lang w:val="pt-BR"/>
        </w:rPr>
        <w:t xml:space="preserve"> não pode conter elementos que contrariam à moral e aos bons costumes. – Previsto nos incisos I, III, XI e XIV do art. 124 da LPI.</w:t>
      </w:r>
    </w:p>
    <w:p w14:paraId="6B9E65AF"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u w:val="single"/>
          <w:lang w:val="pt-BR"/>
        </w:rPr>
        <w:t>DISTINTIVIDADE</w:t>
      </w:r>
      <w:r w:rsidRPr="00A47300">
        <w:rPr>
          <w:rFonts w:ascii="Sora" w:eastAsia="Sora" w:hAnsi="Sora" w:cs="Sora"/>
          <w:color w:val="595959"/>
          <w:sz w:val="24"/>
          <w:lang w:val="pt-BR"/>
        </w:rPr>
        <w:t xml:space="preserve"> - </w:t>
      </w:r>
      <w:proofErr w:type="gramStart"/>
      <w:r w:rsidRPr="00A47300">
        <w:rPr>
          <w:rFonts w:ascii="Sora" w:eastAsia="Sora" w:hAnsi="Sora" w:cs="Sora"/>
          <w:color w:val="595959"/>
          <w:sz w:val="24"/>
          <w:lang w:val="pt-BR"/>
        </w:rPr>
        <w:t>Esse requisitos</w:t>
      </w:r>
      <w:proofErr w:type="gramEnd"/>
      <w:r w:rsidRPr="00A47300">
        <w:rPr>
          <w:rFonts w:ascii="Sora" w:eastAsia="Sora" w:hAnsi="Sora" w:cs="Sora"/>
          <w:color w:val="595959"/>
          <w:sz w:val="24"/>
          <w:lang w:val="pt-BR"/>
        </w:rPr>
        <w:t xml:space="preserve"> dispõe que é condição fundamental e função da marca enquanto signo diferenciador de produtos e serviços. – Previsto nos </w:t>
      </w:r>
      <w:proofErr w:type="gramStart"/>
      <w:r w:rsidRPr="00A47300">
        <w:rPr>
          <w:rFonts w:ascii="Sora" w:eastAsia="Sora" w:hAnsi="Sora" w:cs="Sora"/>
          <w:color w:val="595959"/>
          <w:sz w:val="24"/>
          <w:lang w:val="pt-BR"/>
        </w:rPr>
        <w:t>incisos</w:t>
      </w:r>
      <w:proofErr w:type="gramEnd"/>
      <w:r w:rsidRPr="00A47300">
        <w:rPr>
          <w:rFonts w:ascii="Sora" w:eastAsia="Sora" w:hAnsi="Sora" w:cs="Sora"/>
          <w:color w:val="595959"/>
          <w:sz w:val="24"/>
          <w:lang w:val="pt-BR"/>
        </w:rPr>
        <w:t xml:space="preserve"> </w:t>
      </w:r>
      <w:proofErr w:type="spellStart"/>
      <w:r w:rsidRPr="00A47300">
        <w:rPr>
          <w:rFonts w:ascii="Sora" w:eastAsia="Sora" w:hAnsi="Sora" w:cs="Sora"/>
          <w:color w:val="595959"/>
          <w:sz w:val="24"/>
          <w:lang w:val="pt-BR"/>
        </w:rPr>
        <w:t>incisos</w:t>
      </w:r>
      <w:proofErr w:type="spellEnd"/>
      <w:r w:rsidRPr="00A47300">
        <w:rPr>
          <w:rFonts w:ascii="Sora" w:eastAsia="Sora" w:hAnsi="Sora" w:cs="Sora"/>
          <w:color w:val="595959"/>
          <w:sz w:val="24"/>
          <w:lang w:val="pt-BR"/>
        </w:rPr>
        <w:t xml:space="preserve"> II, VI, VII, VIII, XVIII e XXI do art. 124 da LPI.</w:t>
      </w:r>
    </w:p>
    <w:p w14:paraId="36AFC9F5"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u w:val="single"/>
          <w:lang w:val="pt-BR"/>
        </w:rPr>
        <w:t>NOVIDADE / DISPONIBILIDADE</w:t>
      </w:r>
      <w:r w:rsidRPr="00A47300">
        <w:rPr>
          <w:rFonts w:ascii="Sora" w:eastAsia="Sora" w:hAnsi="Sora" w:cs="Sora"/>
          <w:color w:val="595959"/>
          <w:sz w:val="24"/>
          <w:lang w:val="pt-BR"/>
        </w:rPr>
        <w:t xml:space="preserve"> - Os aspectos gráfico, fonético e ideológico da marca precisam ser </w:t>
      </w:r>
      <w:proofErr w:type="gramStart"/>
      <w:r w:rsidRPr="00A47300">
        <w:rPr>
          <w:rFonts w:ascii="Sora" w:eastAsia="Sora" w:hAnsi="Sora" w:cs="Sora"/>
          <w:color w:val="595959"/>
          <w:sz w:val="24"/>
          <w:lang w:val="pt-BR"/>
        </w:rPr>
        <w:t>exibido</w:t>
      </w:r>
      <w:proofErr w:type="gramEnd"/>
      <w:r w:rsidRPr="00A47300">
        <w:rPr>
          <w:rFonts w:ascii="Sora" w:eastAsia="Sora" w:hAnsi="Sora" w:cs="Sora"/>
          <w:color w:val="595959"/>
          <w:sz w:val="24"/>
          <w:lang w:val="pt-BR"/>
        </w:rPr>
        <w:t xml:space="preserve"> de uma forma diferente dos demais já existentes em determinado ramo ou classe. – Previsto nos </w:t>
      </w:r>
      <w:proofErr w:type="spellStart"/>
      <w:r w:rsidRPr="00A47300">
        <w:rPr>
          <w:rFonts w:ascii="Sora" w:eastAsia="Sora" w:hAnsi="Sora" w:cs="Sora"/>
          <w:color w:val="595959"/>
          <w:sz w:val="24"/>
          <w:lang w:val="pt-BR"/>
        </w:rPr>
        <w:t>arts</w:t>
      </w:r>
      <w:proofErr w:type="spellEnd"/>
      <w:r w:rsidRPr="00A47300">
        <w:rPr>
          <w:rFonts w:ascii="Sora" w:eastAsia="Sora" w:hAnsi="Sora" w:cs="Sora"/>
          <w:color w:val="595959"/>
          <w:sz w:val="24"/>
          <w:lang w:val="pt-BR"/>
        </w:rPr>
        <w:t>. 124, incisos IV, V, IX, XII, XIII, XV, XVI, XVII, XIX, XX, XXII e XXIII, 125 e 126 da LPI.</w:t>
      </w:r>
    </w:p>
    <w:p w14:paraId="10E39EB0"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Entre os requisitos mencionados, a partir da análise de vários pedidos que foram indeferidos, nota-se que o critério da novidade é frequentemente o principal motivo de indeferimento, devido à sua natureza abrangente e complexa.</w:t>
      </w:r>
    </w:p>
    <w:p w14:paraId="074B81E2"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14:paraId="76C27A90"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Com a concessão da marca, o INPI procederá com uma nova publicação na RPI – Revista da Propriedade Industrial, marcando o início do prazo de 180 dias (cento e oitenta) dias para que terceiros possam apresentar Processo Administrativo de Nulidade, </w:t>
      </w:r>
      <w:r w:rsidRPr="00A47300">
        <w:rPr>
          <w:rFonts w:ascii="Sora" w:eastAsia="Sora" w:hAnsi="Sora" w:cs="Sora"/>
          <w:color w:val="595959"/>
          <w:sz w:val="24"/>
          <w:lang w:val="pt-BR"/>
        </w:rPr>
        <w:lastRenderedPageBreak/>
        <w:t>buscando anular a marca. No caso de tal pedido de nulidade, o titular da marca terá o prazo de 60 dias para contestá-lo, sendo a decisão final sobre o assunto de competência do Presidente do INPI.</w:t>
      </w:r>
    </w:p>
    <w:p w14:paraId="1DE4E0BF"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Para facilitar melhor a compreensão do processo de registro de marca, anexa-se o fluxograma abaixo demonstrando </w:t>
      </w:r>
      <w:proofErr w:type="spellStart"/>
      <w:r w:rsidRPr="00A47300">
        <w:rPr>
          <w:rFonts w:ascii="Sora" w:eastAsia="Sora" w:hAnsi="Sora" w:cs="Sora"/>
          <w:color w:val="595959"/>
          <w:sz w:val="24"/>
          <w:lang w:val="pt-BR"/>
        </w:rPr>
        <w:t>expressamento</w:t>
      </w:r>
      <w:proofErr w:type="spellEnd"/>
      <w:r w:rsidRPr="00A47300">
        <w:rPr>
          <w:rFonts w:ascii="Sora" w:eastAsia="Sora" w:hAnsi="Sora" w:cs="Sora"/>
          <w:color w:val="595959"/>
          <w:sz w:val="24"/>
          <w:lang w:val="pt-BR"/>
        </w:rPr>
        <w:t xml:space="preserve"> o processo adotado pelo INPI até concessão do registro da marca:</w:t>
      </w:r>
    </w:p>
    <w:p w14:paraId="708ED195" w14:textId="77777777" w:rsidR="00E11D12" w:rsidRDefault="00000000">
      <w:pPr>
        <w:jc w:val="center"/>
      </w:pPr>
      <w:r>
        <w:rPr>
          <w:noProof/>
        </w:rPr>
        <w:drawing>
          <wp:inline distT="0" distB="0" distL="0" distR="0" wp14:anchorId="60ED8FD7" wp14:editId="14B424B8">
            <wp:extent cx="54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grama-inpi.png"/>
                    <pic:cNvPicPr/>
                  </pic:nvPicPr>
                  <pic:blipFill>
                    <a:blip r:embed="rId8"/>
                    <a:stretch>
                      <a:fillRect/>
                    </a:stretch>
                  </pic:blipFill>
                  <pic:spPr>
                    <a:xfrm>
                      <a:off x="0" y="0"/>
                      <a:ext cx="5400000" cy="3600000"/>
                    </a:xfrm>
                    <a:prstGeom prst="rect">
                      <a:avLst/>
                    </a:prstGeom>
                  </pic:spPr>
                </pic:pic>
              </a:graphicData>
            </a:graphic>
          </wp:inline>
        </w:drawing>
      </w:r>
    </w:p>
    <w:p w14:paraId="320B24EF"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14:paraId="7094BC90" w14:textId="77777777" w:rsidR="00E11D12" w:rsidRPr="00A47300" w:rsidRDefault="00000000">
      <w:pPr>
        <w:rPr>
          <w:lang w:val="pt-BR"/>
        </w:rPr>
      </w:pPr>
      <w:r w:rsidRPr="00A47300">
        <w:rPr>
          <w:lang w:val="pt-BR"/>
        </w:rPr>
        <w:br w:type="page"/>
      </w:r>
    </w:p>
    <w:p w14:paraId="1512D50E" w14:textId="77777777" w:rsidR="00E11D12" w:rsidRPr="00A47300" w:rsidRDefault="00000000">
      <w:pPr>
        <w:keepNext/>
        <w:pBdr>
          <w:bottom w:val="single" w:sz="24" w:space="4" w:color="9FEC14"/>
        </w:pBdr>
        <w:spacing w:before="480" w:after="240"/>
        <w:rPr>
          <w:lang w:val="pt-BR"/>
        </w:rPr>
      </w:pPr>
      <w:r w:rsidRPr="00A47300">
        <w:rPr>
          <w:rFonts w:ascii="Sora" w:eastAsia="Sora" w:hAnsi="Sora" w:cs="Sora"/>
          <w:b/>
          <w:caps/>
          <w:color w:val="9FEC14"/>
          <w:sz w:val="32"/>
          <w:lang w:val="pt-BR"/>
        </w:rPr>
        <w:lastRenderedPageBreak/>
        <w:t>2. CLASSES RECOMENDADAS</w:t>
      </w:r>
    </w:p>
    <w:p w14:paraId="0E842D6A"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Nesta seção, iremos expor nossas sugestões sobre quais classes independentes são aconselháveis para registro conforme o seguimento da empresa. Sabe-se que a empresa atua no segmento de tecnologia e inteligência artificial.</w:t>
      </w:r>
    </w:p>
    <w:p w14:paraId="7FCEFF3D" w14:textId="77777777" w:rsidR="00E11D12" w:rsidRPr="00A47300" w:rsidRDefault="00000000">
      <w:pPr>
        <w:spacing w:before="480" w:after="240" w:line="360" w:lineRule="auto"/>
        <w:rPr>
          <w:lang w:val="pt-BR"/>
        </w:rPr>
      </w:pPr>
      <w:r w:rsidRPr="00A47300">
        <w:rPr>
          <w:rFonts w:ascii="Sora" w:eastAsia="Sora" w:hAnsi="Sora" w:cs="Sora"/>
          <w:b/>
          <w:color w:val="9FEC14"/>
          <w:sz w:val="26"/>
          <w:lang w:val="pt-BR"/>
        </w:rPr>
        <w:t>Classe 42 (muito recomendável)</w:t>
      </w:r>
      <w:r w:rsidRPr="00A47300">
        <w:rPr>
          <w:rFonts w:ascii="Sora" w:eastAsia="Sora" w:hAnsi="Sora" w:cs="Sora"/>
          <w:color w:val="595959"/>
          <w:sz w:val="24"/>
          <w:lang w:val="pt-BR"/>
        </w:rPr>
        <w:t xml:space="preserve"> – Desenvolvimento de software; software como serviço (SaaS); plataformas de inteligência artificial; consultoria em tecnologia da informação; hospedagem de plataformas na internet; desenvolvimento de aplicativos; manutenção e atualização de software; análise de dados; computação em nuvem; inteligência artificial como serviço (</w:t>
      </w:r>
      <w:proofErr w:type="spellStart"/>
      <w:r w:rsidRPr="00A47300">
        <w:rPr>
          <w:rFonts w:ascii="Sora" w:eastAsia="Sora" w:hAnsi="Sora" w:cs="Sora"/>
          <w:color w:val="595959"/>
          <w:sz w:val="24"/>
          <w:lang w:val="pt-BR"/>
        </w:rPr>
        <w:t>AIaaS</w:t>
      </w:r>
      <w:proofErr w:type="spellEnd"/>
      <w:r w:rsidRPr="00A47300">
        <w:rPr>
          <w:rFonts w:ascii="Sora" w:eastAsia="Sora" w:hAnsi="Sora" w:cs="Sora"/>
          <w:color w:val="595959"/>
          <w:sz w:val="24"/>
          <w:lang w:val="pt-BR"/>
        </w:rPr>
        <w:t>).</w:t>
      </w:r>
    </w:p>
    <w:p w14:paraId="4322CF28"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 Classe 42 constitui o núcleo da proteção marcária para uma empresa de tecnologia e IA. Abrange diretamente os serviços-fim: desenvolvimento de software, SaaS, plataformas de IA, consultoria tecnológica e computação em nuvem.</w:t>
      </w:r>
    </w:p>
    <w:p w14:paraId="2971FF15" w14:textId="77777777" w:rsidR="00E11D12" w:rsidRPr="00A47300" w:rsidRDefault="00000000">
      <w:pPr>
        <w:spacing w:before="480" w:after="240" w:line="360" w:lineRule="auto"/>
        <w:rPr>
          <w:lang w:val="pt-BR"/>
        </w:rPr>
      </w:pPr>
      <w:r w:rsidRPr="00A47300">
        <w:rPr>
          <w:rFonts w:ascii="Sora" w:eastAsia="Sora" w:hAnsi="Sora" w:cs="Sora"/>
          <w:b/>
          <w:color w:val="9FEC14"/>
          <w:sz w:val="26"/>
          <w:lang w:val="pt-BR"/>
        </w:rPr>
        <w:t>Classe 35 (muito recomendável)</w:t>
      </w:r>
      <w:r w:rsidRPr="00A47300">
        <w:rPr>
          <w:rFonts w:ascii="Sora" w:eastAsia="Sora" w:hAnsi="Sora" w:cs="Sora"/>
          <w:color w:val="595959"/>
          <w:sz w:val="24"/>
          <w:lang w:val="pt-BR"/>
        </w:rPr>
        <w:t xml:space="preserve"> – Propaganda; gestão, organização e administração de negócios; serviços de marketing digital; gestão de dados comerciais; consultoria em estratégia de negócios; organização de feiras e exposições para fins comerciais ou de publicidade; comércio varejista e atacadista de software e soluções de tecnologia.</w:t>
      </w:r>
    </w:p>
    <w:p w14:paraId="1553A265"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 Classe 35 protege a operação comercial da plataforma: comercialização de serviços de IA, marketing digital, gestão de negócios e publicidade.</w:t>
      </w:r>
    </w:p>
    <w:p w14:paraId="4489C765" w14:textId="77777777" w:rsidR="00E11D12" w:rsidRPr="00A47300" w:rsidRDefault="00000000">
      <w:pPr>
        <w:rPr>
          <w:lang w:val="pt-BR"/>
        </w:rPr>
      </w:pPr>
      <w:r w:rsidRPr="00A47300">
        <w:rPr>
          <w:lang w:val="pt-BR"/>
        </w:rPr>
        <w:br w:type="page"/>
      </w:r>
    </w:p>
    <w:p w14:paraId="74B34B33" w14:textId="77777777" w:rsidR="00E11D12" w:rsidRPr="00A47300" w:rsidRDefault="00000000">
      <w:pPr>
        <w:keepNext/>
        <w:pBdr>
          <w:bottom w:val="single" w:sz="24" w:space="4" w:color="9FEC14"/>
        </w:pBdr>
        <w:spacing w:before="480" w:after="240"/>
        <w:rPr>
          <w:lang w:val="pt-BR"/>
        </w:rPr>
      </w:pPr>
      <w:r w:rsidRPr="00A47300">
        <w:rPr>
          <w:rFonts w:ascii="Sora" w:eastAsia="Sora" w:hAnsi="Sora" w:cs="Sora"/>
          <w:b/>
          <w:caps/>
          <w:color w:val="9FEC14"/>
          <w:sz w:val="32"/>
          <w:lang w:val="pt-BR"/>
        </w:rPr>
        <w:lastRenderedPageBreak/>
        <w:t>3. ANÁLISE DE REQUISITOS (ESPECÍFICA)</w:t>
      </w:r>
    </w:p>
    <w:p w14:paraId="1D58D7BE"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O sinal marcário "Dono.AI" submete-se à análise intrínseca exigida pela Lei 9.279/96 para verificação de registrabilidade perante o INPI. Trata-se de vocábulo composto pelo termo "Dono" — palavra do léxico português que significa "proprietário, possuidor, aquele que tem domínio sobre algo" — acrescido do sufixo ".AI", referência ao domínio de internet associado a Inteligência Artificial (Artificial </w:t>
      </w:r>
      <w:proofErr w:type="spellStart"/>
      <w:r w:rsidRPr="00A47300">
        <w:rPr>
          <w:rFonts w:ascii="Sora" w:eastAsia="Sora" w:hAnsi="Sora" w:cs="Sora"/>
          <w:color w:val="595959"/>
          <w:sz w:val="24"/>
          <w:lang w:val="pt-BR"/>
        </w:rPr>
        <w:t>Intelligence</w:t>
      </w:r>
      <w:proofErr w:type="spellEnd"/>
      <w:r w:rsidRPr="00A47300">
        <w:rPr>
          <w:rFonts w:ascii="Sora" w:eastAsia="Sora" w:hAnsi="Sora" w:cs="Sora"/>
          <w:color w:val="595959"/>
          <w:sz w:val="24"/>
          <w:lang w:val="pt-BR"/>
        </w:rPr>
        <w:t>). A combinação cria um sinal que sugere "domínio", "propriedade" e "controle" aplicados ao universo de inteligência artificial — o que impõe exame atento quanto à DISTINTIVIDADE.</w:t>
      </w:r>
    </w:p>
    <w:p w14:paraId="7459635F"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No tocante à VERACIDADE, o sinal "Dono.AI" não induz o consumidor a erro quanto à origem, natureza ou qualidade dos serviços. A palavra "Dono" não descreve falsamente a titularidade de nenhuma tecnologia específica, e o sufixo ".AI" indica o campo de atuação sem gerar expectativa falsa. O consumidor percebe "Dono.AI" como nome comercial de uma plataforma ou serviço de tecnologia, não como declaração literal de propriedade sobre inteligência artificial. O requisito de VERACIDADE encontra-se satisfeito.</w:t>
      </w:r>
    </w:p>
    <w:p w14:paraId="24461B11"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Quanto à LICEIDADE, o sinal não incide nas proibições do artigo 124 da LPI. Não é termo técnico indispensável do segmento de software, não é indicação geográfica, não é expressão de uso necessário. "Dono" é palavra comum da língua portuguesa, porém não é denominação genérica ou necessária no campo de tecnologia e inteligência artificial. O sufixo ".AI" isoladamente poderia ser considerado genérico para serviços de IA, mas integrado ao conjunto "Dono.AI" adquire função distintiva. A LICEIDADE resta preservada.</w:t>
      </w:r>
    </w:p>
    <w:p w14:paraId="30890FB4"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No campo da DISTINTIVIDADE, o sinal "Dono.AI" apresenta perfil EVOCATIVO no contexto de software e inteligência artificial. O vocábulo "Dono" sugere domínio, controle e propriedade — atributos que dialogam com o universo de gestão, automação e inteligência artificial, evocando a ideia de "ter controle total" sobre processos, </w:t>
      </w:r>
      <w:r w:rsidRPr="00A47300">
        <w:rPr>
          <w:rFonts w:ascii="Sora" w:eastAsia="Sora" w:hAnsi="Sora" w:cs="Sora"/>
          <w:color w:val="595959"/>
          <w:sz w:val="24"/>
          <w:lang w:val="pt-BR"/>
        </w:rPr>
        <w:lastRenderedPageBreak/>
        <w:t xml:space="preserve">dados ou negócios. Não é DESCRITIVO porque não descreve diretamente nenhuma funcionalidade de software (software não é "dono" de nada). Não é FANTASIOSO porque "Dono" existe no léxico português com significado consolidado. Não é ARBITRÁRIO porque há conexão semântica entre "dono/controle" e o universo de gestão por IA. O posicionamento EVOCATIVO confere proteção moderada: marcas evocativas são </w:t>
      </w:r>
      <w:proofErr w:type="gramStart"/>
      <w:r w:rsidRPr="00A47300">
        <w:rPr>
          <w:rFonts w:ascii="Sora" w:eastAsia="Sora" w:hAnsi="Sora" w:cs="Sora"/>
          <w:color w:val="595959"/>
          <w:sz w:val="24"/>
          <w:lang w:val="pt-BR"/>
        </w:rPr>
        <w:t>registráveis</w:t>
      </w:r>
      <w:proofErr w:type="gramEnd"/>
      <w:r w:rsidRPr="00A47300">
        <w:rPr>
          <w:rFonts w:ascii="Sora" w:eastAsia="Sora" w:hAnsi="Sora" w:cs="Sora"/>
          <w:color w:val="595959"/>
          <w:sz w:val="24"/>
          <w:lang w:val="pt-BR"/>
        </w:rPr>
        <w:t xml:space="preserve"> mas recebem proteção menos ampla que marcas fantasiosas. O principal risco não reside na distintividade intrínseca — que é adequada — mas na existência de anterioridades foneticamente muito próximas na mesma classe, conforme se verá na Parte 2.</w:t>
      </w:r>
    </w:p>
    <w:p w14:paraId="152C2C88"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Há um ponto adicional relevante: o sufixo ".AI" não é registrável isoladamente como elemento distintivo, porém integrado ao conjunto "Dono.AI" compõe sinal com identidade própria. O INPI tende a avaliar o conjunto marcário e não o sufixo tecnológico isoladamente.</w:t>
      </w:r>
    </w:p>
    <w:p w14:paraId="5AB52377" w14:textId="77777777" w:rsidR="00E11D12" w:rsidRPr="00A47300" w:rsidRDefault="00000000">
      <w:pPr>
        <w:rPr>
          <w:lang w:val="pt-BR"/>
        </w:rPr>
      </w:pPr>
      <w:r w:rsidRPr="00A47300">
        <w:rPr>
          <w:lang w:val="pt-BR"/>
        </w:rPr>
        <w:br w:type="page"/>
      </w:r>
    </w:p>
    <w:p w14:paraId="721E5FB3" w14:textId="77777777" w:rsidR="00E11D12" w:rsidRPr="00A47300" w:rsidRDefault="00000000">
      <w:pPr>
        <w:keepNext/>
        <w:pBdr>
          <w:bottom w:val="single" w:sz="24" w:space="4" w:color="9FEC14"/>
        </w:pBdr>
        <w:spacing w:before="480" w:after="240"/>
        <w:rPr>
          <w:lang w:val="pt-BR"/>
        </w:rPr>
      </w:pPr>
      <w:r w:rsidRPr="00A47300">
        <w:rPr>
          <w:rFonts w:ascii="Sora" w:eastAsia="Sora" w:hAnsi="Sora" w:cs="Sora"/>
          <w:b/>
          <w:caps/>
          <w:color w:val="9FEC14"/>
          <w:sz w:val="32"/>
          <w:lang w:val="pt-BR"/>
        </w:rPr>
        <w:lastRenderedPageBreak/>
        <w:t>4. ANÁLISE DE COLIDÊNCIAS E VIABILIDADE</w:t>
      </w:r>
    </w:p>
    <w:p w14:paraId="124A3D35" w14:textId="187DEEB6"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A investigação de anterioridades para o sinal "Dono.AI" foi conduzida nas duas classes de interesse (42 e 35) com base nos dados do INPI (base atualizada até 14/04/2026, RPI 2884), revelando um cenário marcário PREOCUPANTE. Foram </w:t>
      </w:r>
      <w:r w:rsidR="00A47300">
        <w:rPr>
          <w:rFonts w:ascii="Sora" w:eastAsia="Sora" w:hAnsi="Sora" w:cs="Sora"/>
          <w:color w:val="595959"/>
          <w:sz w:val="24"/>
          <w:lang w:val="pt-BR"/>
        </w:rPr>
        <w:t xml:space="preserve">analisadas 853 marcas em 7 classes, e </w:t>
      </w:r>
      <w:r w:rsidRPr="00A47300">
        <w:rPr>
          <w:rFonts w:ascii="Sora" w:eastAsia="Sora" w:hAnsi="Sora" w:cs="Sora"/>
          <w:color w:val="595959"/>
          <w:sz w:val="24"/>
          <w:lang w:val="pt-BR"/>
        </w:rPr>
        <w:t>identificados 4 processos relevantes com graus variados de similitude fonética, visual e conceitual com o sinal pretendido. O cenário é dominado pela presença da DOMO, INC. — empresa norte-americana de tecnologia com registros sólidos e estrutura jurídica ativa.</w:t>
      </w:r>
    </w:p>
    <w:p w14:paraId="451AD260" w14:textId="7971FDB1"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ANTERIORIDADE CRÍTICA — DOMO.AI (Processo 501.809.474)</w:t>
      </w:r>
    </w:p>
    <w:p w14:paraId="31058897"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A anterioridade mais relevante — e potencialmente impeditiva — é o registro internacional "DOMO.AI", processo 501.809.474, IRN 1.809.474, de titularidade da DOMO, INC. (empresa norte-americana). Trata-se de marca NOMINATIVA, com registro em vigor via Protocolo de Madri, na Classe </w:t>
      </w:r>
      <w:proofErr w:type="gramStart"/>
      <w:r w:rsidRPr="00A47300">
        <w:rPr>
          <w:rFonts w:ascii="Sora" w:eastAsia="Sora" w:hAnsi="Sora" w:cs="Sora"/>
          <w:color w:val="595959"/>
          <w:sz w:val="24"/>
          <w:lang w:val="pt-BR"/>
        </w:rPr>
        <w:t>NCL(</w:t>
      </w:r>
      <w:proofErr w:type="gramEnd"/>
      <w:r w:rsidRPr="00A47300">
        <w:rPr>
          <w:rFonts w:ascii="Sora" w:eastAsia="Sora" w:hAnsi="Sora" w:cs="Sora"/>
          <w:color w:val="595959"/>
          <w:sz w:val="24"/>
          <w:lang w:val="pt-BR"/>
        </w:rPr>
        <w:t>12) 42, com vigência até 05/06/2034.</w:t>
      </w:r>
    </w:p>
    <w:p w14:paraId="3C55C8EB"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A especificação registrada é: </w:t>
      </w:r>
      <w:r w:rsidRPr="00A47300">
        <w:rPr>
          <w:rFonts w:ascii="Sora" w:eastAsia="Sora" w:hAnsi="Sora" w:cs="Sora"/>
          <w:b/>
          <w:color w:val="595959"/>
          <w:sz w:val="24"/>
          <w:lang w:val="pt-BR"/>
        </w:rPr>
        <w:t xml:space="preserve">"Artificial </w:t>
      </w:r>
      <w:proofErr w:type="spellStart"/>
      <w:r w:rsidRPr="00A47300">
        <w:rPr>
          <w:rFonts w:ascii="Sora" w:eastAsia="Sora" w:hAnsi="Sora" w:cs="Sora"/>
          <w:b/>
          <w:color w:val="595959"/>
          <w:sz w:val="24"/>
          <w:lang w:val="pt-BR"/>
        </w:rPr>
        <w:t>intelligence</w:t>
      </w:r>
      <w:proofErr w:type="spellEnd"/>
      <w:r w:rsidRPr="00A47300">
        <w:rPr>
          <w:rFonts w:ascii="Sora" w:eastAsia="Sora" w:hAnsi="Sora" w:cs="Sora"/>
          <w:b/>
          <w:color w:val="595959"/>
          <w:sz w:val="24"/>
          <w:lang w:val="pt-BR"/>
        </w:rPr>
        <w:t xml:space="preserve"> as a </w:t>
      </w:r>
      <w:proofErr w:type="spellStart"/>
      <w:r w:rsidRPr="00A47300">
        <w:rPr>
          <w:rFonts w:ascii="Sora" w:eastAsia="Sora" w:hAnsi="Sora" w:cs="Sora"/>
          <w:b/>
          <w:color w:val="595959"/>
          <w:sz w:val="24"/>
          <w:lang w:val="pt-BR"/>
        </w:rPr>
        <w:t>service</w:t>
      </w:r>
      <w:proofErr w:type="spellEnd"/>
      <w:r w:rsidRPr="00A47300">
        <w:rPr>
          <w:rFonts w:ascii="Sora" w:eastAsia="Sora" w:hAnsi="Sora" w:cs="Sora"/>
          <w:b/>
          <w:color w:val="595959"/>
          <w:sz w:val="24"/>
          <w:lang w:val="pt-BR"/>
        </w:rPr>
        <w:t xml:space="preserve"> (AIAAS) </w:t>
      </w:r>
      <w:proofErr w:type="spellStart"/>
      <w:r w:rsidRPr="00A47300">
        <w:rPr>
          <w:rFonts w:ascii="Sora" w:eastAsia="Sora" w:hAnsi="Sora" w:cs="Sora"/>
          <w:b/>
          <w:color w:val="595959"/>
          <w:sz w:val="24"/>
          <w:lang w:val="pt-BR"/>
        </w:rPr>
        <w:t>services</w:t>
      </w:r>
      <w:proofErr w:type="spellEnd"/>
      <w:r w:rsidRPr="00A47300">
        <w:rPr>
          <w:rFonts w:ascii="Sora" w:eastAsia="Sora" w:hAnsi="Sora" w:cs="Sora"/>
          <w:b/>
          <w:color w:val="595959"/>
          <w:sz w:val="24"/>
          <w:lang w:val="pt-BR"/>
        </w:rPr>
        <w:t xml:space="preserve"> </w:t>
      </w:r>
      <w:proofErr w:type="spellStart"/>
      <w:r w:rsidRPr="00A47300">
        <w:rPr>
          <w:rFonts w:ascii="Sora" w:eastAsia="Sora" w:hAnsi="Sora" w:cs="Sora"/>
          <w:b/>
          <w:color w:val="595959"/>
          <w:sz w:val="24"/>
          <w:lang w:val="pt-BR"/>
        </w:rPr>
        <w:t>featuring</w:t>
      </w:r>
      <w:proofErr w:type="spellEnd"/>
      <w:r w:rsidRPr="00A47300">
        <w:rPr>
          <w:rFonts w:ascii="Sora" w:eastAsia="Sora" w:hAnsi="Sora" w:cs="Sora"/>
          <w:b/>
          <w:color w:val="595959"/>
          <w:sz w:val="24"/>
          <w:lang w:val="pt-BR"/>
        </w:rPr>
        <w:t xml:space="preserve"> software"</w:t>
      </w:r>
      <w:r w:rsidRPr="00A47300">
        <w:rPr>
          <w:rFonts w:ascii="Sora" w:eastAsia="Sora" w:hAnsi="Sora" w:cs="Sora"/>
          <w:color w:val="595959"/>
          <w:sz w:val="24"/>
          <w:lang w:val="pt-BR"/>
        </w:rPr>
        <w:t xml:space="preserve"> — ou seja, inteligência artificial como serviço — especificação que se sobrepõe diretamente ao campo de atuação pretendido pela marca "Dono.AI".</w:t>
      </w:r>
    </w:p>
    <w:p w14:paraId="4209C4D3"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 análise de colidência entre "DONO.AI" e "DOMO.AI" revela grau de similitude MUITO ELEVADO em todos os planos:</w:t>
      </w:r>
    </w:p>
    <w:p w14:paraId="0BD0AA3F"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 </w:t>
      </w:r>
      <w:r w:rsidRPr="00A47300">
        <w:rPr>
          <w:rFonts w:ascii="Sora" w:eastAsia="Sora" w:hAnsi="Sora" w:cs="Sora"/>
          <w:b/>
          <w:color w:val="595959"/>
          <w:sz w:val="24"/>
          <w:lang w:val="pt-BR"/>
        </w:rPr>
        <w:t>Plano fonético:</w:t>
      </w:r>
      <w:r w:rsidRPr="00A47300">
        <w:rPr>
          <w:rFonts w:ascii="Sora" w:eastAsia="Sora" w:hAnsi="Sora" w:cs="Sora"/>
          <w:color w:val="595959"/>
          <w:sz w:val="24"/>
          <w:lang w:val="pt-BR"/>
        </w:rPr>
        <w:t xml:space="preserve"> "DONO" e "DOMO" diferem por uma única consoante (N→M), ambas nasais, na mesma posição silábica. A pronúncia é quase idêntica: /ˈ</w:t>
      </w:r>
      <w:proofErr w:type="spellStart"/>
      <w:r w:rsidRPr="00A47300">
        <w:rPr>
          <w:rFonts w:ascii="Sora" w:eastAsia="Sora" w:hAnsi="Sora" w:cs="Sora"/>
          <w:color w:val="595959"/>
          <w:sz w:val="24"/>
          <w:lang w:val="pt-BR"/>
        </w:rPr>
        <w:t>do.no</w:t>
      </w:r>
      <w:proofErr w:type="spellEnd"/>
      <w:r w:rsidRPr="00A47300">
        <w:rPr>
          <w:rFonts w:ascii="Sora" w:eastAsia="Sora" w:hAnsi="Sora" w:cs="Sora"/>
          <w:color w:val="595959"/>
          <w:sz w:val="24"/>
          <w:lang w:val="pt-BR"/>
        </w:rPr>
        <w:t>/ vs. /ˈ</w:t>
      </w:r>
      <w:proofErr w:type="spellStart"/>
      <w:r w:rsidRPr="00A47300">
        <w:rPr>
          <w:rFonts w:ascii="Sora" w:eastAsia="Sora" w:hAnsi="Sora" w:cs="Sora"/>
          <w:color w:val="595959"/>
          <w:sz w:val="24"/>
          <w:lang w:val="pt-BR"/>
        </w:rPr>
        <w:t>do.mo</w:t>
      </w:r>
      <w:proofErr w:type="spellEnd"/>
      <w:r w:rsidRPr="00A47300">
        <w:rPr>
          <w:rFonts w:ascii="Sora" w:eastAsia="Sora" w:hAnsi="Sora" w:cs="Sora"/>
          <w:color w:val="595959"/>
          <w:sz w:val="24"/>
          <w:lang w:val="pt-BR"/>
        </w:rPr>
        <w:t>/. O sufixo ".AI" é idêntico. No fluxo natural da fala, o consumidor médio não distinguirá "Dono.AI" de "Domo.AI".</w:t>
      </w:r>
    </w:p>
    <w:p w14:paraId="5F1FF353"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lastRenderedPageBreak/>
        <w:t xml:space="preserve">- </w:t>
      </w:r>
      <w:r w:rsidRPr="00A47300">
        <w:rPr>
          <w:rFonts w:ascii="Sora" w:eastAsia="Sora" w:hAnsi="Sora" w:cs="Sora"/>
          <w:b/>
          <w:color w:val="595959"/>
          <w:sz w:val="24"/>
          <w:lang w:val="pt-BR"/>
        </w:rPr>
        <w:t>Plano visual:</w:t>
      </w:r>
      <w:r w:rsidRPr="00A47300">
        <w:rPr>
          <w:rFonts w:ascii="Sora" w:eastAsia="Sora" w:hAnsi="Sora" w:cs="Sora"/>
          <w:color w:val="595959"/>
          <w:sz w:val="24"/>
          <w:lang w:val="pt-BR"/>
        </w:rPr>
        <w:t xml:space="preserve"> A diferença gráfica entre "N" e "M" é mínima — ambas são letras verticais com hastes similares. O conjunto "DONO.AI" e "DOMO.AI" apresenta impressão visual quase idêntica, especialmente em tipografia digital.</w:t>
      </w:r>
    </w:p>
    <w:p w14:paraId="67C69915"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 </w:t>
      </w:r>
      <w:r w:rsidRPr="00A47300">
        <w:rPr>
          <w:rFonts w:ascii="Sora" w:eastAsia="Sora" w:hAnsi="Sora" w:cs="Sora"/>
          <w:b/>
          <w:color w:val="595959"/>
          <w:sz w:val="24"/>
          <w:lang w:val="pt-BR"/>
        </w:rPr>
        <w:t>Plano conceitual/ideológico:</w:t>
      </w:r>
      <w:r w:rsidRPr="00A47300">
        <w:rPr>
          <w:rFonts w:ascii="Sora" w:eastAsia="Sora" w:hAnsi="Sora" w:cs="Sora"/>
          <w:color w:val="595959"/>
          <w:sz w:val="24"/>
          <w:lang w:val="pt-BR"/>
        </w:rPr>
        <w:t xml:space="preserve"> Embora "dono" (proprietário) e "domo" (não possui significado consolidado em português, sendo percebido como nome fantasia ou referência a "dome/domo" em inglês) operem em campos semânticos distintos, a percepção do consumidor médio — especialmente no contexto digital onde ".AI" é o elemento dominante — tende a equiparar os sinais.</w:t>
      </w:r>
    </w:p>
    <w:p w14:paraId="48EBA3FA"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O INPI, em linha com jurisprudência consolidada (art. 124, XIX, LPI), considera </w:t>
      </w:r>
      <w:proofErr w:type="spellStart"/>
      <w:r w:rsidRPr="00A47300">
        <w:rPr>
          <w:rFonts w:ascii="Sora" w:eastAsia="Sora" w:hAnsi="Sora" w:cs="Sora"/>
          <w:color w:val="595959"/>
          <w:sz w:val="24"/>
          <w:lang w:val="pt-BR"/>
        </w:rPr>
        <w:t>irregistrável</w:t>
      </w:r>
      <w:proofErr w:type="spellEnd"/>
      <w:r w:rsidRPr="00A47300">
        <w:rPr>
          <w:rFonts w:ascii="Sora" w:eastAsia="Sora" w:hAnsi="Sora" w:cs="Sora"/>
          <w:color w:val="595959"/>
          <w:sz w:val="24"/>
          <w:lang w:val="pt-BR"/>
        </w:rPr>
        <w:t xml:space="preserve"> marca que constitua imitação de marca alheia registrada, suscetível de causar confusão ou associação. A diferença de uma única letra nasal em posição medial, com identidade total do sufixo ".AI" e sobreposição completa de especificação na mesma classe, configura cenário de alta probabilidade de indeferimento com base no inciso XIX do art. 124.</w:t>
      </w:r>
    </w:p>
    <w:p w14:paraId="12FE9680"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lang w:val="pt-BR"/>
        </w:rPr>
        <w:t>Precedente relevante no próprio dossiê:</w:t>
      </w:r>
      <w:r w:rsidRPr="00A47300">
        <w:rPr>
          <w:rFonts w:ascii="Sora" w:eastAsia="Sora" w:hAnsi="Sora" w:cs="Sora"/>
          <w:color w:val="595959"/>
          <w:sz w:val="24"/>
          <w:lang w:val="pt-BR"/>
        </w:rPr>
        <w:t xml:space="preserve"> O processo 501.774.809, "DONE! AI", da </w:t>
      </w:r>
      <w:proofErr w:type="spellStart"/>
      <w:r w:rsidRPr="00A47300">
        <w:rPr>
          <w:rFonts w:ascii="Sora" w:eastAsia="Sora" w:hAnsi="Sora" w:cs="Sora"/>
          <w:color w:val="595959"/>
          <w:sz w:val="24"/>
          <w:lang w:val="pt-BR"/>
        </w:rPr>
        <w:t>DoneCo</w:t>
      </w:r>
      <w:proofErr w:type="spellEnd"/>
      <w:r w:rsidRPr="00A47300">
        <w:rPr>
          <w:rFonts w:ascii="Sora" w:eastAsia="Sora" w:hAnsi="Sora" w:cs="Sora"/>
          <w:color w:val="595959"/>
          <w:sz w:val="24"/>
          <w:lang w:val="pt-BR"/>
        </w:rPr>
        <w:t xml:space="preserve"> Inc., teve a Classe 42 INDEFERIDA pelo INPI justamente por conflito com anterioridade de terceiro — demonstrando que o INPI está ativamente fiscalizando colidências no campo ".AI" da Classe 42.</w:t>
      </w:r>
    </w:p>
    <w:p w14:paraId="4BE05676" w14:textId="6D18C4B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ANTERIORIDADE RELEVANTE — DOMO (Processo 908.462.280)</w:t>
      </w:r>
    </w:p>
    <w:p w14:paraId="7861BBEA"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O registro "DOMO", processo 908.462.280, também de titularidade da DOMO, INC., é marca NOMINATIVA registrada na Classe 42, com vigência até 20/04/2031. A especificação é densa e abrangente:</w:t>
      </w:r>
    </w:p>
    <w:p w14:paraId="5872F20C"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"Fornecimento de uso temporário de software não disponível para download para gerar, manipular e exibir diagramas e gráficos para uso de negócios em </w:t>
      </w:r>
      <w:r w:rsidRPr="00A47300">
        <w:rPr>
          <w:rFonts w:ascii="Sora" w:eastAsia="Sora" w:hAnsi="Sora" w:cs="Sora"/>
          <w:color w:val="595959"/>
          <w:sz w:val="24"/>
          <w:lang w:val="pt-BR"/>
        </w:rPr>
        <w:lastRenderedPageBreak/>
        <w:t>geral, científico e doméstico; fornecimento de uso temporário de software online não disponível para download para possibilitar a transmissão de dados e informações; fornecimento de uso temporário de sistema online não disponível para download de computação e de operação para coleção e gerenciamento de dados e informação; fornecimento de uso temporário de software não disponível para download para configuração eletrônica, armazenamento, cópia reversa (backup), e gerenciamento de dados e aplicativos; hospedagem de conteúdo digital em redes de comunicações eletrônicas e óticas; serviços de informática, a saber: criação de índices de redes de informações baseados em computadores disponíveis em redes de comunicações eletrônicas e óticas; fornecimento de uso temporário de software online não disponível para download para permitir que os usuários realizem análises de dados e análises de negócios."</w:t>
      </w:r>
    </w:p>
    <w:p w14:paraId="4CBCA1BB"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 cobertura é ampla: SaaS, análise de dados, gerenciamento de informação, hospedagem digital. A marca "DOMO" pura, sem o sufixo ".AI", já constitui anterioridade relevante para "DONO.AI" na Classe 42 — a adição de ".AI" ao sinal pretendido não afasta a colidência com "DOMO", pelo contrário, reforça a sobreposição de especificações.</w:t>
      </w:r>
    </w:p>
    <w:p w14:paraId="7B9567EF"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Registre-se que o próprio "DOMO" foi inicialmente INDEFERIDO pelo INPI (despacho de 29/01/2019, RPI 2508) por imitar "DOM" (processo 823.309.622) — evidenciando que o INPI aplica rigorosamente o critério de similitude fonética mesmo com diferença de uma única sílaba. O registro só foi obtido após recurso (provido em 23/03/2021), o que demonstra que a DOMO, INC. tem estrutura jurídica para defender seus registros ativamente.</w:t>
      </w:r>
    </w:p>
    <w:p w14:paraId="2DC13655" w14:textId="6A3F9883"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ANTERIORIDADES DE MENOR RELEVÂNCIA</w:t>
      </w:r>
    </w:p>
    <w:p w14:paraId="684E341E"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lang w:val="pt-BR"/>
        </w:rPr>
        <w:t>DONA AGENDA (Processo 921.583.745)</w:t>
      </w:r>
      <w:r w:rsidRPr="00A47300">
        <w:rPr>
          <w:rFonts w:ascii="Sora" w:eastAsia="Sora" w:hAnsi="Sora" w:cs="Sora"/>
          <w:color w:val="595959"/>
          <w:sz w:val="24"/>
          <w:lang w:val="pt-BR"/>
        </w:rPr>
        <w:t xml:space="preserve"> — Marca MISTA, Classe 42. Situação: INDEFERIDA. Titular: LIS KARLYNE LAUSCHNER. Depositada em 11/12/2020, indeferida por conflito com "</w:t>
      </w:r>
      <w:proofErr w:type="spellStart"/>
      <w:r w:rsidRPr="00A47300">
        <w:rPr>
          <w:rFonts w:ascii="Sora" w:eastAsia="Sora" w:hAnsi="Sora" w:cs="Sora"/>
          <w:color w:val="595959"/>
          <w:sz w:val="24"/>
          <w:lang w:val="pt-BR"/>
        </w:rPr>
        <w:t>donna</w:t>
      </w:r>
      <w:proofErr w:type="spellEnd"/>
      <w:r w:rsidRPr="00A47300">
        <w:rPr>
          <w:rFonts w:ascii="Sora" w:eastAsia="Sora" w:hAnsi="Sora" w:cs="Sora"/>
          <w:color w:val="595959"/>
          <w:sz w:val="24"/>
          <w:lang w:val="pt-BR"/>
        </w:rPr>
        <w:t xml:space="preserve"> bank" (920.354.220). Esta anterioridade não constitui </w:t>
      </w:r>
      <w:r w:rsidRPr="00A47300">
        <w:rPr>
          <w:rFonts w:ascii="Sora" w:eastAsia="Sora" w:hAnsi="Sora" w:cs="Sora"/>
          <w:color w:val="595959"/>
          <w:sz w:val="24"/>
          <w:lang w:val="pt-BR"/>
        </w:rPr>
        <w:lastRenderedPageBreak/>
        <w:t>obstáculo por estar morta (indeferida). Contudo, o elemento "DONA" — feminino de "DONO" — revela que o INPI mantém escrutínio sobre variações do radical "DON-" na Classe 42. O indeferimento por conflito com "</w:t>
      </w:r>
      <w:proofErr w:type="spellStart"/>
      <w:r w:rsidRPr="00A47300">
        <w:rPr>
          <w:rFonts w:ascii="Sora" w:eastAsia="Sora" w:hAnsi="Sora" w:cs="Sora"/>
          <w:color w:val="595959"/>
          <w:sz w:val="24"/>
          <w:lang w:val="pt-BR"/>
        </w:rPr>
        <w:t>donna</w:t>
      </w:r>
      <w:proofErr w:type="spellEnd"/>
      <w:r w:rsidRPr="00A47300">
        <w:rPr>
          <w:rFonts w:ascii="Sora" w:eastAsia="Sora" w:hAnsi="Sora" w:cs="Sora"/>
          <w:color w:val="595959"/>
          <w:sz w:val="24"/>
          <w:lang w:val="pt-BR"/>
        </w:rPr>
        <w:t xml:space="preserve"> bank" (com "</w:t>
      </w:r>
      <w:proofErr w:type="spellStart"/>
      <w:r w:rsidRPr="00A47300">
        <w:rPr>
          <w:rFonts w:ascii="Sora" w:eastAsia="Sora" w:hAnsi="Sora" w:cs="Sora"/>
          <w:color w:val="595959"/>
          <w:sz w:val="24"/>
          <w:lang w:val="pt-BR"/>
        </w:rPr>
        <w:t>donna</w:t>
      </w:r>
      <w:proofErr w:type="spellEnd"/>
      <w:r w:rsidRPr="00A47300">
        <w:rPr>
          <w:rFonts w:ascii="Sora" w:eastAsia="Sora" w:hAnsi="Sora" w:cs="Sora"/>
          <w:color w:val="595959"/>
          <w:sz w:val="24"/>
          <w:lang w:val="pt-BR"/>
        </w:rPr>
        <w:t>" = variação italiana de "dona") confirma que o INPI trata essas variações como foneticamente próximas.</w:t>
      </w:r>
    </w:p>
    <w:p w14:paraId="1B32498E" w14:textId="77777777" w:rsidR="00E11D12" w:rsidRPr="00A47300" w:rsidRDefault="00000000">
      <w:pPr>
        <w:spacing w:after="240" w:line="360" w:lineRule="auto"/>
        <w:ind w:firstLine="1701"/>
        <w:jc w:val="both"/>
        <w:rPr>
          <w:lang w:val="pt-BR"/>
        </w:rPr>
      </w:pPr>
      <w:r w:rsidRPr="00A47300">
        <w:rPr>
          <w:rFonts w:ascii="Sora" w:eastAsia="Sora" w:hAnsi="Sora" w:cs="Sora"/>
          <w:b/>
          <w:color w:val="595959"/>
          <w:sz w:val="24"/>
          <w:lang w:val="pt-BR"/>
        </w:rPr>
        <w:t>DONE! AI (Processo 501.774.809)</w:t>
      </w:r>
      <w:r w:rsidRPr="00A47300">
        <w:rPr>
          <w:rFonts w:ascii="Sora" w:eastAsia="Sora" w:hAnsi="Sora" w:cs="Sora"/>
          <w:color w:val="595959"/>
          <w:sz w:val="24"/>
          <w:lang w:val="pt-BR"/>
        </w:rPr>
        <w:t xml:space="preserve"> — Marca NOMINATIVA, via Protocolo de Madri. Titular: </w:t>
      </w:r>
      <w:proofErr w:type="spellStart"/>
      <w:r w:rsidRPr="00A47300">
        <w:rPr>
          <w:rFonts w:ascii="Sora" w:eastAsia="Sora" w:hAnsi="Sora" w:cs="Sora"/>
          <w:color w:val="595959"/>
          <w:sz w:val="24"/>
          <w:lang w:val="pt-BR"/>
        </w:rPr>
        <w:t>DoneCo</w:t>
      </w:r>
      <w:proofErr w:type="spellEnd"/>
      <w:r w:rsidRPr="00A47300">
        <w:rPr>
          <w:rFonts w:ascii="Sora" w:eastAsia="Sora" w:hAnsi="Sora" w:cs="Sora"/>
          <w:color w:val="595959"/>
          <w:sz w:val="24"/>
          <w:lang w:val="pt-BR"/>
        </w:rPr>
        <w:t xml:space="preserve"> Inc. Classe 09 DEFERIDA, Classe 42 INDEFERIDA. A Classe 42 foi indeferida por conflito com "DONE" (processo 906.286.700). Esta anterioridade é relevante como precedente jurisprudencial: demonstra que o INPI está indeferindo marcas com sufixo ".AI" na Classe 42 quando há anterioridade no radical. "DONE! AI" vs. "DONO.AI" possuem similitude fonética moderada (DONE/DONO), porém o indeferimento de "DONE! AI" já removeu esse processo do cenário como obstáculo direto.</w:t>
      </w:r>
    </w:p>
    <w:p w14:paraId="733C7A37" w14:textId="77777777" w:rsidR="00E11D12" w:rsidRPr="00A47300" w:rsidRDefault="00000000">
      <w:pPr>
        <w:keepNext/>
        <w:pBdr>
          <w:bottom w:val="single" w:sz="24" w:space="4" w:color="9FEC14"/>
        </w:pBdr>
        <w:spacing w:before="480" w:after="240"/>
        <w:rPr>
          <w:lang w:val="pt-BR"/>
        </w:rPr>
      </w:pPr>
      <w:r w:rsidRPr="00A47300">
        <w:rPr>
          <w:rFonts w:ascii="Sora" w:eastAsia="Sora" w:hAnsi="Sora" w:cs="Sora"/>
          <w:b/>
          <w:color w:val="9FEC14"/>
          <w:sz w:val="28"/>
          <w:lang w:val="pt-BR"/>
        </w:rPr>
        <w:t>VEREDITO DE VIABILIDADE</w:t>
      </w:r>
    </w:p>
    <w:p w14:paraId="72298192"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O veredito de viabilidade para o registro da marca "Dono.AI" é </w:t>
      </w:r>
      <w:r w:rsidRPr="00A47300">
        <w:rPr>
          <w:rFonts w:ascii="Sora" w:eastAsia="Sora" w:hAnsi="Sora" w:cs="Sora"/>
          <w:b/>
          <w:color w:val="595959"/>
          <w:sz w:val="24"/>
          <w:lang w:val="pt-BR"/>
        </w:rPr>
        <w:t>IMPROVÁVEL</w:t>
      </w:r>
      <w:r w:rsidRPr="00A47300">
        <w:rPr>
          <w:rFonts w:ascii="Sora" w:eastAsia="Sora" w:hAnsi="Sora" w:cs="Sora"/>
          <w:color w:val="595959"/>
          <w:sz w:val="24"/>
          <w:lang w:val="pt-BR"/>
        </w:rPr>
        <w:t>.</w:t>
      </w:r>
    </w:p>
    <w:p w14:paraId="3D5CA5F7"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O registro "DOMO.AI" (processo 501.809.474) da DOMO, INC. constitui obstáculo severo e potencialmente intransponível. A similitude fonética entre "DONO" e "DOMO" (uma única letra nasal de diferença), a identidade total do sufixo ".AI", e a sobreposição completa de especificação (inteligência artificial como serviço) configuram cenário clássico de indeferimento pelo art. 124, XIX, da LPI. A DOMO, INC. detém adicionalmente o registro de "DOMO" puro na mesma classe, com especificação abrangente em SaaS e análise de dados, reforçando a barreira. Trata-se de empresa norte-americana com estrutura jurídica robusta e histórico de recurso bem-sucedido perante o INPI — o que indica capacidade e disposição para apresentar oposição.</w:t>
      </w:r>
    </w:p>
    <w:p w14:paraId="2657CC2C"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lastRenderedPageBreak/>
        <w:t>A probabilidade de indeferimento de ofício pelo examinador do INPI é ALTA. Mesmo que não haja indeferimento de ofício, a probabilidade de oposição pela DOMO, INC. é igualmente ALTA — empresa de tecnologia com departamento jurídico de propriedade intelectual ativo.</w:t>
      </w:r>
    </w:p>
    <w:p w14:paraId="11408CDA" w14:textId="77777777" w:rsidR="00E11D12" w:rsidRPr="00A47300" w:rsidRDefault="00000000">
      <w:pPr>
        <w:keepNext/>
        <w:spacing w:before="320" w:after="160"/>
        <w:rPr>
          <w:lang w:val="pt-BR"/>
        </w:rPr>
      </w:pPr>
      <w:r w:rsidRPr="00A47300">
        <w:rPr>
          <w:rFonts w:ascii="Sora" w:eastAsia="Sora" w:hAnsi="Sora" w:cs="Sora"/>
          <w:b/>
          <w:color w:val="9FEC14"/>
          <w:sz w:val="26"/>
          <w:lang w:val="pt-BR"/>
        </w:rPr>
        <w:t>Estratégia Recomendada</w:t>
      </w:r>
    </w:p>
    <w:p w14:paraId="74684B01"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Considerando o cenário desfavorável, recomendamos as seguintes ações ao cliente:</w:t>
      </w:r>
    </w:p>
    <w:p w14:paraId="60124DF6"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1. </w:t>
      </w:r>
      <w:r w:rsidRPr="00A47300">
        <w:rPr>
          <w:rFonts w:ascii="Sora" w:eastAsia="Sora" w:hAnsi="Sora" w:cs="Sora"/>
          <w:b/>
          <w:color w:val="595959"/>
          <w:sz w:val="24"/>
          <w:lang w:val="pt-BR"/>
        </w:rPr>
        <w:t>Modificação do sinal marcário:</w:t>
      </w:r>
      <w:r w:rsidRPr="00A47300">
        <w:rPr>
          <w:rFonts w:ascii="Sora" w:eastAsia="Sora" w:hAnsi="Sora" w:cs="Sora"/>
          <w:color w:val="595959"/>
          <w:sz w:val="24"/>
          <w:lang w:val="pt-BR"/>
        </w:rPr>
        <w:t xml:space="preserve"> Alterar o elemento principal "DONO" para sinal com maior distância fonética de "DOMO". Criar sinal fantasioso sem similitude com "DOMO" aumentaria tanto a registrabilidade quanto a proteção jurídica (marcas fantasiosas têm escopo de proteção mais amplo).</w:t>
      </w:r>
    </w:p>
    <w:p w14:paraId="3945C616"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2. </w:t>
      </w:r>
      <w:r w:rsidRPr="00A47300">
        <w:rPr>
          <w:rFonts w:ascii="Sora" w:eastAsia="Sora" w:hAnsi="Sora" w:cs="Sora"/>
          <w:b/>
          <w:color w:val="595959"/>
          <w:sz w:val="24"/>
          <w:lang w:val="pt-BR"/>
        </w:rPr>
        <w:t>Depositar como marca MISTA:</w:t>
      </w:r>
      <w:r w:rsidRPr="00A47300">
        <w:rPr>
          <w:rFonts w:ascii="Sora" w:eastAsia="Sora" w:hAnsi="Sora" w:cs="Sora"/>
          <w:color w:val="595959"/>
          <w:sz w:val="24"/>
          <w:lang w:val="pt-BR"/>
        </w:rPr>
        <w:t xml:space="preserve"> Se o cliente insistir no sinal "Dono.AI", o depósito como marca mista (com logotipo diferenciado) pode mitigar parcialmente o risco, pois o INPI avalia o conjunto marcário. Contudo, essa estratégia não elimina o risco de indeferimento — o INPI pode considerar que o elemento nominativo "DONO.AI" é o componente dominante e que a similitude fonética com "DOMO.AI" persiste independentemente do elemento figurativo.</w:t>
      </w:r>
    </w:p>
    <w:p w14:paraId="44CD0D2A" w14:textId="77777777" w:rsidR="00E11D12" w:rsidRPr="00A47300" w:rsidRDefault="00000000">
      <w:pPr>
        <w:spacing w:after="240" w:line="360" w:lineRule="auto"/>
        <w:ind w:firstLine="1701"/>
        <w:jc w:val="both"/>
        <w:rPr>
          <w:lang w:val="pt-BR"/>
        </w:rPr>
      </w:pPr>
      <w:r w:rsidRPr="00A47300">
        <w:rPr>
          <w:rFonts w:ascii="Sora" w:eastAsia="Sora" w:hAnsi="Sora" w:cs="Sora"/>
          <w:color w:val="595959"/>
          <w:sz w:val="24"/>
          <w:lang w:val="pt-BR"/>
        </w:rPr>
        <w:t xml:space="preserve">3. </w:t>
      </w:r>
      <w:r w:rsidRPr="00A47300">
        <w:rPr>
          <w:rFonts w:ascii="Sora" w:eastAsia="Sora" w:hAnsi="Sora" w:cs="Sora"/>
          <w:b/>
          <w:color w:val="595959"/>
          <w:sz w:val="24"/>
          <w:lang w:val="pt-BR"/>
        </w:rPr>
        <w:t>Não depositar como nominativa com o sinal atual:</w:t>
      </w:r>
      <w:r w:rsidRPr="00A47300">
        <w:rPr>
          <w:rFonts w:ascii="Sora" w:eastAsia="Sora" w:hAnsi="Sora" w:cs="Sora"/>
          <w:color w:val="595959"/>
          <w:sz w:val="24"/>
          <w:lang w:val="pt-BR"/>
        </w:rPr>
        <w:t xml:space="preserve"> A relação custo-benefício do depósito nominativo de "Dono.AI" é desfavorável. O custo de depósito (taxas INPI + honorários) será provavelmente perdido em indeferimento, e eventual recurso exigiria investimento adicional com baixa perspectiva de êxito frente a uma anterioridade tão forte.</w:t>
      </w:r>
    </w:p>
    <w:p w14:paraId="097ECF90" w14:textId="77777777" w:rsidR="00E11D12" w:rsidRDefault="00000000">
      <w:pPr>
        <w:spacing w:before="720"/>
        <w:jc w:val="right"/>
      </w:pPr>
      <w:r w:rsidRPr="00A47300">
        <w:rPr>
          <w:rFonts w:ascii="Sora" w:eastAsia="Sora" w:hAnsi="Sora" w:cs="Sora"/>
          <w:color w:val="595959"/>
          <w:sz w:val="24"/>
          <w:lang w:val="pt-BR"/>
        </w:rPr>
        <w:lastRenderedPageBreak/>
        <w:t>É o parecer.</w:t>
      </w:r>
      <w:r w:rsidRPr="00A47300">
        <w:rPr>
          <w:rFonts w:ascii="Sora" w:eastAsia="Sora" w:hAnsi="Sora" w:cs="Sora"/>
          <w:color w:val="595959"/>
          <w:sz w:val="24"/>
          <w:lang w:val="pt-BR"/>
        </w:rPr>
        <w:br/>
        <w:t>18 de abril de 2026.</w:t>
      </w:r>
      <w:r w:rsidRPr="00A47300">
        <w:rPr>
          <w:rFonts w:ascii="Sora" w:eastAsia="Sora" w:hAnsi="Sora" w:cs="Sora"/>
          <w:color w:val="595959"/>
          <w:sz w:val="24"/>
          <w:lang w:val="pt-BR"/>
        </w:rPr>
        <w:br/>
      </w:r>
      <w:r>
        <w:rPr>
          <w:rFonts w:ascii="Sora" w:eastAsia="Sora" w:hAnsi="Sora" w:cs="Sora"/>
          <w:color w:val="595959"/>
          <w:sz w:val="24"/>
        </w:rPr>
        <w:t>Equipe Genesis</w:t>
      </w:r>
    </w:p>
    <w:sectPr w:rsidR="00E11D12" w:rsidSect="00034616">
      <w:headerReference w:type="default" r:id="rId9"/>
      <w:footerReference w:type="default" r:id="rId10"/>
      <w:headerReference w:type="first" r:id="rId11"/>
      <w:footerReference w:type="first" r:id="rId12"/>
      <w:pgSz w:w="12240" w:h="15840"/>
      <w:pgMar w:top="2268"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4E3901" w14:textId="77777777" w:rsidR="001A604D" w:rsidRDefault="001A604D">
      <w:pPr>
        <w:spacing w:after="0" w:line="240" w:lineRule="auto"/>
      </w:pPr>
      <w:r>
        <w:separator/>
      </w:r>
    </w:p>
  </w:endnote>
  <w:endnote w:type="continuationSeparator" w:id="0">
    <w:p w14:paraId="5583A416" w14:textId="77777777" w:rsidR="001A604D" w:rsidRDefault="001A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ora">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BC512" w14:textId="77777777" w:rsidR="00E11D12" w:rsidRPr="00A47300" w:rsidRDefault="00000000">
    <w:pPr>
      <w:pStyle w:val="Rodap"/>
      <w:jc w:val="center"/>
      <w:rPr>
        <w:lang w:val="pt-BR"/>
      </w:rPr>
    </w:pPr>
    <w:r w:rsidRPr="00A47300">
      <w:rPr>
        <w:rFonts w:ascii="Sora" w:eastAsia="Sora" w:hAnsi="Sora" w:cs="Sora"/>
        <w:color w:val="656565"/>
        <w:sz w:val="18"/>
        <w:lang w:val="pt-BR"/>
      </w:rPr>
      <w:t>Genesis - Marcas e Patentes | Rua Pará, 945, Londrina, Paraná, CEP 86010-450 | @genesisregistro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6B4FB" w14:textId="77777777" w:rsidR="00E11D12" w:rsidRPr="00A47300" w:rsidRDefault="00000000">
    <w:pPr>
      <w:pStyle w:val="Rodap"/>
      <w:jc w:val="center"/>
      <w:rPr>
        <w:lang w:val="pt-BR"/>
      </w:rPr>
    </w:pPr>
    <w:r w:rsidRPr="00A47300">
      <w:rPr>
        <w:rFonts w:ascii="Sora" w:eastAsia="Sora" w:hAnsi="Sora" w:cs="Sora"/>
        <w:color w:val="656565"/>
        <w:sz w:val="18"/>
        <w:lang w:val="pt-BR"/>
      </w:rPr>
      <w:t>Genesis - Marcas e Patentes | Rua Pará, 945, Londrina, Paraná, CEP 86010-450 | @genesisregistro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40082" w14:textId="77777777" w:rsidR="001A604D" w:rsidRDefault="001A604D">
      <w:pPr>
        <w:spacing w:after="0" w:line="240" w:lineRule="auto"/>
      </w:pPr>
      <w:r>
        <w:separator/>
      </w:r>
    </w:p>
  </w:footnote>
  <w:footnote w:type="continuationSeparator" w:id="0">
    <w:p w14:paraId="3B6D4A2C" w14:textId="77777777" w:rsidR="001A604D" w:rsidRDefault="001A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2C2E7" w14:textId="77777777" w:rsidR="00E11D12" w:rsidRDefault="00000000">
    <w:pPr>
      <w:pStyle w:val="Cabealho"/>
      <w:jc w:val="center"/>
    </w:pPr>
    <w:r>
      <w:rPr>
        <w:noProof/>
      </w:rPr>
      <w:drawing>
        <wp:inline distT="0" distB="0" distL="0" distR="0" wp14:anchorId="42617045" wp14:editId="2F1CE82D">
          <wp:extent cx="2160000" cy="1350000"/>
          <wp:effectExtent l="0" t="0" r="0" b="0"/>
          <wp:docPr id="120143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genesis.png"/>
                  <pic:cNvPicPr/>
                </pic:nvPicPr>
                <pic:blipFill>
                  <a:blip r:embed="rId1"/>
                  <a:stretch>
                    <a:fillRect/>
                  </a:stretch>
                </pic:blipFill>
                <pic:spPr>
                  <a:xfrm>
                    <a:off x="0" y="0"/>
                    <a:ext cx="2160000" cy="135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6452B" w14:textId="77777777" w:rsidR="00E11D12" w:rsidRDefault="00E11D12">
    <w:pPr>
      <w:pStyle w:val="Cabealho"/>
    </w:pPr>
  </w:p>
  <w:tbl>
    <w:tblPr>
      <w:tblW w:w="0" w:type="auto"/>
      <w:tblLayout w:type="fixed"/>
      <w:tblLook w:val="04A0" w:firstRow="1" w:lastRow="0" w:firstColumn="1" w:lastColumn="0" w:noHBand="0" w:noVBand="1"/>
    </w:tblPr>
    <w:tblGrid>
      <w:gridCol w:w="4535"/>
      <w:gridCol w:w="4535"/>
    </w:tblGrid>
    <w:tr w:rsidR="00E11D12" w14:paraId="6519C355" w14:textId="77777777">
      <w:tc>
        <w:tcPr>
          <w:tcW w:w="4535" w:type="dxa"/>
          <w:vAlign w:val="center"/>
        </w:tcPr>
        <w:p w14:paraId="6E382D41" w14:textId="77777777" w:rsidR="00E11D12" w:rsidRDefault="00000000">
          <w:r>
            <w:rPr>
              <w:noProof/>
            </w:rPr>
            <w:drawing>
              <wp:inline distT="0" distB="0" distL="0" distR="0" wp14:anchorId="0303C96A" wp14:editId="43528A6D">
                <wp:extent cx="2520000" cy="1575000"/>
                <wp:effectExtent l="0" t="0" r="0" b="0"/>
                <wp:docPr id="38827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genesis.png"/>
                        <pic:cNvPicPr/>
                      </pic:nvPicPr>
                      <pic:blipFill>
                        <a:blip r:embed="rId1"/>
                        <a:stretch>
                          <a:fillRect/>
                        </a:stretch>
                      </pic:blipFill>
                      <pic:spPr>
                        <a:xfrm>
                          <a:off x="0" y="0"/>
                          <a:ext cx="2520000" cy="1575000"/>
                        </a:xfrm>
                        <a:prstGeom prst="rect">
                          <a:avLst/>
                        </a:prstGeom>
                      </pic:spPr>
                    </pic:pic>
                  </a:graphicData>
                </a:graphic>
              </wp:inline>
            </w:drawing>
          </w:r>
        </w:p>
      </w:tc>
      <w:tc>
        <w:tcPr>
          <w:tcW w:w="4535" w:type="dxa"/>
          <w:vAlign w:val="center"/>
        </w:tcPr>
        <w:p w14:paraId="7C2CFE03" w14:textId="77777777" w:rsidR="00E11D12" w:rsidRDefault="00000000">
          <w:pPr>
            <w:jc w:val="right"/>
          </w:pPr>
          <w:r>
            <w:rPr>
              <w:rFonts w:ascii="Sora" w:eastAsia="Sora" w:hAnsi="Sora" w:cs="Sora"/>
              <w:color w:val="656565"/>
            </w:rPr>
            <w:t>Para</w:t>
          </w:r>
          <w:r>
            <w:rPr>
              <w:rFonts w:ascii="Sora" w:eastAsia="Sora" w:hAnsi="Sora" w:cs="Sora"/>
              <w:color w:val="656565"/>
            </w:rPr>
            <w:br/>
          </w:r>
          <w:r>
            <w:rPr>
              <w:rFonts w:ascii="Sora" w:eastAsia="Sora" w:hAnsi="Sora" w:cs="Sora"/>
              <w:b/>
              <w:color w:val="595959"/>
              <w:sz w:val="32"/>
            </w:rPr>
            <w:t>Luiz - 3P</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31999015">
    <w:abstractNumId w:val="8"/>
  </w:num>
  <w:num w:numId="2" w16cid:durableId="651524168">
    <w:abstractNumId w:val="6"/>
  </w:num>
  <w:num w:numId="3" w16cid:durableId="2059471769">
    <w:abstractNumId w:val="5"/>
  </w:num>
  <w:num w:numId="4" w16cid:durableId="85927516">
    <w:abstractNumId w:val="4"/>
  </w:num>
  <w:num w:numId="5" w16cid:durableId="854927299">
    <w:abstractNumId w:val="7"/>
  </w:num>
  <w:num w:numId="6" w16cid:durableId="10760085">
    <w:abstractNumId w:val="3"/>
  </w:num>
  <w:num w:numId="7" w16cid:durableId="288438952">
    <w:abstractNumId w:val="2"/>
  </w:num>
  <w:num w:numId="8" w16cid:durableId="788625040">
    <w:abstractNumId w:val="1"/>
  </w:num>
  <w:num w:numId="9" w16cid:durableId="186050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04D"/>
    <w:rsid w:val="0029639D"/>
    <w:rsid w:val="00326F90"/>
    <w:rsid w:val="00A47300"/>
    <w:rsid w:val="00AA1D8D"/>
    <w:rsid w:val="00B47730"/>
    <w:rsid w:val="00C07163"/>
    <w:rsid w:val="00CB0664"/>
    <w:rsid w:val="00E11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6F5E7"/>
  <w14:defaultImageDpi w14:val="300"/>
  <w15:docId w15:val="{1BA25A2E-38C7-2D4F-8020-BEB27FD1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2583</Words>
  <Characters>13951</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Lucano Steenmeijer Do Amaral</cp:lastModifiedBy>
  <cp:revision>2</cp:revision>
  <dcterms:created xsi:type="dcterms:W3CDTF">2013-12-23T23:15:00Z</dcterms:created>
  <dcterms:modified xsi:type="dcterms:W3CDTF">2026-04-18T20:29:00Z</dcterms:modified>
  <cp:category/>
</cp:coreProperties>
</file>