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“Portfólio de Marcas”,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w:t>
      </w:r>
    </w:p>
    <w:p>
      <w:pPr>
        <w:spacing w:after="240" w:line="360" w:lineRule="auto"/>
        <w:ind w:firstLine="1701"/>
        <w:jc w:val="both"/>
      </w:pPr>
      <w:r>
        <w:rPr>
          <w:rFonts w:ascii="Sora" w:hAnsi="Sora" w:eastAsia="Sora" w:cs="Sora"/>
          <w:b w:val="0"/>
          <w:caps w:val="0"/>
          <w:color w:val="595959"/>
          <w:sz w:val="24"/>
          <w:u w:val="none"/>
        </w:rPr>
        <w:t>Sabe-se que a empresa tem como atividade o desenvolvimento de roupas fitness no estilo old money, operação de salão de beleza e SPA, studio de pilates e comercialização de bebidas funcionais (chá verde).</w:t>
      </w:r>
    </w:p>
    <w:p>
      <w:pPr>
        <w:spacing w:after="240" w:line="360" w:lineRule="auto"/>
        <w:ind w:firstLine="1701"/>
        <w:jc w:val="both"/>
      </w:pPr>
      <w:r>
        <w:rPr>
          <w:rFonts w:ascii="Sora" w:hAnsi="Sora" w:eastAsia="Sora" w:cs="Sora"/>
          <w:b w:val="0"/>
          <w:caps w:val="0"/>
          <w:color w:val="595959"/>
          <w:sz w:val="24"/>
          <w:u w:val="none"/>
        </w:rPr>
        <w:t>As classes abaixo aplicam-se a todas as cinco marcas analisadas.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25 (muito recomendável)</w:t>
      </w:r>
      <w:r>
        <w:rPr>
          <w:rFonts w:ascii="Sora" w:hAnsi="Sora" w:eastAsia="Sora" w:cs="Sora"/>
          <w:b w:val="0"/>
          <w:caps w:val="0"/>
          <w:color w:val="595959"/>
          <w:sz w:val="24"/>
          <w:u w:val="none"/>
        </w:rPr>
        <w:t xml:space="preserve"> – Vestuário; roupas de banho; trajes de banho; camisetas; leggings [calças]; roupa para ginástica; body [roupa íntima]; sapatos para ginástica; sapatos para esportes; botas para esportes; artigos de malha [vestuário]; calças compridas; blazers [vestuário]; vestidos; saias; bonés; faixas para a cabeça [vestuário]; rash guards [camisa de compressão para prática esportiva]; roupas esportivas com sensores digitais.</w:t>
      </w:r>
    </w:p>
    <w:p>
      <w:pPr>
        <w:spacing w:after="240" w:line="360" w:lineRule="auto"/>
        <w:ind w:firstLine="1701"/>
        <w:jc w:val="both"/>
      </w:pPr>
      <w:r>
        <w:rPr>
          <w:rFonts w:ascii="Sora" w:hAnsi="Sora" w:eastAsia="Sora" w:cs="Sora"/>
          <w:b w:val="0"/>
          <w:caps w:val="0"/>
          <w:color w:val="595959"/>
          <w:sz w:val="24"/>
          <w:u w:val="none"/>
        </w:rPr>
        <w:t>A Classe 25 constitui o núcleo jurídico irredutível do portfólio registral de uma marca voltada ao mercado de moda fitness.</w:t>
      </w:r>
    </w:p>
    <w:p>
      <w:pPr>
        <w:spacing w:after="240" w:line="360" w:lineRule="auto"/>
        <w:ind w:firstLine="1701"/>
        <w:jc w:val="both"/>
      </w:pPr>
      <w:r>
        <w:rPr>
          <w:rFonts w:ascii="Sora" w:hAnsi="Sora" w:eastAsia="Sora" w:cs="Sora"/>
          <w:b w:val="0"/>
          <w:caps w:val="0"/>
          <w:color w:val="595959"/>
          <w:sz w:val="24"/>
          <w:u w:val="none"/>
        </w:rPr>
        <w:t>É nela que residem os artigos de vestuário que compõem a atividade-fim: leggings, tops, bodies, camisetas esportivas e peças destinadas à prática de exercícios físicos.</w:t>
      </w:r>
    </w:p>
    <w:p>
      <w:pPr>
        <w:spacing w:after="240" w:line="360" w:lineRule="auto"/>
        <w:ind w:firstLine="1701"/>
        <w:jc w:val="both"/>
      </w:pPr>
      <w:r>
        <w:rPr>
          <w:rFonts w:ascii="Sora" w:hAnsi="Sora" w:eastAsia="Sora" w:cs="Sora"/>
          <w:b w:val="0"/>
          <w:caps w:val="0"/>
          <w:color w:val="595959"/>
          <w:sz w:val="24"/>
          <w:u w:val="none"/>
        </w:rPr>
        <w:t>O posicionamento "old money" reforça a necessidade de proteção ampla nesta classe, uma vez que a diferenciação mercadológica reside precisamente no vestuário como veículo de identidade e estilo de vida.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salões de beleza; serviços de cabeleireiro; massagem; serviços de saúde em spa; serviços de esteticista; serviços de estética; manicure; depilação com cera; serviços de tratamento facial; serviços de sauna; serviços de coloração de cabelos; aromaterapia; aconselhamento em dieta e nutrição.</w:t>
      </w:r>
    </w:p>
    <w:p>
      <w:pPr>
        <w:spacing w:after="240" w:line="360" w:lineRule="auto"/>
        <w:ind w:firstLine="1701"/>
        <w:jc w:val="both"/>
      </w:pPr>
      <w:r>
        <w:rPr>
          <w:rFonts w:ascii="Sora" w:hAnsi="Sora" w:eastAsia="Sora" w:cs="Sora"/>
          <w:b w:val="0"/>
          <w:caps w:val="0"/>
          <w:color w:val="595959"/>
          <w:sz w:val="24"/>
          <w:u w:val="none"/>
        </w:rPr>
        <w:t>A Classe 44 protege o segundo pilar operacional do negócio: os serviços de beleza, estética e bem-estar.</w:t>
      </w:r>
    </w:p>
    <w:p>
      <w:pPr>
        <w:spacing w:after="240" w:line="360" w:lineRule="auto"/>
        <w:ind w:firstLine="1701"/>
        <w:jc w:val="both"/>
      </w:pPr>
      <w:r>
        <w:rPr>
          <w:rFonts w:ascii="Sora" w:hAnsi="Sora" w:eastAsia="Sora" w:cs="Sora"/>
          <w:b w:val="0"/>
          <w:caps w:val="0"/>
          <w:color w:val="595959"/>
          <w:sz w:val="24"/>
          <w:u w:val="none"/>
        </w:rPr>
        <w:t>A operação de um salão de beleza e SPA demanda proteção que cubra desde serviços básicos de cabeleireiro e manicure até tratamentos mais sofisticados como massoterapia, aromaterapia e estética facial.</w:t>
      </w:r>
    </w:p>
    <w:p>
      <w:pPr>
        <w:spacing w:after="240" w:line="360" w:lineRule="auto"/>
        <w:ind w:firstLine="1701"/>
        <w:jc w:val="both"/>
      </w:pPr>
      <w:r>
        <w:rPr>
          <w:rFonts w:ascii="Sora" w:hAnsi="Sora" w:eastAsia="Sora" w:cs="Sora"/>
          <w:b w:val="0"/>
          <w:caps w:val="0"/>
          <w:color w:val="595959"/>
          <w:sz w:val="24"/>
          <w:u w:val="none"/>
        </w:rPr>
        <w:t>A proteção combinada entre as Classes 25 e 44 constitui o escudo registral mínimo para uma operação que integra moda e bem-estar.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Educação física; aulas de ginástica; serviços de academia de ginástica [treinamento físico e para a saúde]; serviços de personal trainer [preparo físico]; serviços de instrução de aulas de atividade física; provimento de instalações desportivas; orientação [treinamento]; coaching [treinamento].</w:t>
      </w:r>
    </w:p>
    <w:p>
      <w:pPr>
        <w:spacing w:after="240" w:line="360" w:lineRule="auto"/>
        <w:ind w:firstLine="1701"/>
        <w:jc w:val="both"/>
      </w:pPr>
      <w:r>
        <w:rPr>
          <w:rFonts w:ascii="Sora" w:hAnsi="Sora" w:eastAsia="Sora" w:cs="Sora"/>
          <w:b w:val="0"/>
          <w:caps w:val="0"/>
          <w:color w:val="595959"/>
          <w:sz w:val="24"/>
          <w:u w:val="none"/>
        </w:rPr>
        <w:t>A operação de um studio de pilates enquadra-se integralmente na Classe 41, que abarca educação física, treinamento corporal e instrução de atividades físicas.</w:t>
      </w:r>
    </w:p>
    <w:p>
      <w:pPr>
        <w:spacing w:after="240" w:line="360" w:lineRule="auto"/>
        <w:ind w:firstLine="1701"/>
        <w:jc w:val="both"/>
      </w:pPr>
      <w:r>
        <w:rPr>
          <w:rFonts w:ascii="Sora" w:hAnsi="Sora" w:eastAsia="Sora" w:cs="Sora"/>
          <w:b w:val="0"/>
          <w:caps w:val="0"/>
          <w:color w:val="595959"/>
          <w:sz w:val="24"/>
          <w:u w:val="none"/>
        </w:rPr>
        <w:t>O registro preventivo impede que terceiros utilizem a marca para operar academias, studios de yoga, crossfit ou qualquer modalidade de treinamento físico que possa se confundir com a prestação de serviços da titular.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32 (recomendável)</w:t>
      </w:r>
      <w:r>
        <w:rPr>
          <w:rFonts w:ascii="Sora" w:hAnsi="Sora" w:eastAsia="Sora" w:cs="Sora"/>
          <w:b w:val="0"/>
          <w:caps w:val="0"/>
          <w:color w:val="595959"/>
          <w:sz w:val="24"/>
          <w:u w:val="none"/>
        </w:rPr>
        <w:t xml:space="preserve"> – Bebidas não alcoólicas; bebidas não alcoólicas com sabor de chá; preparações para fazer bebidas não alcoólicas; bebidas isotônicas; smoothies [bebida à base de frutas e legumes]; bebidas não alcoólicas à base de aloe vera/babosa; bebidas energéticas; bebidas para esportistas enriquecidas com proteínas; água mineral [bebida]; sucos de frutas, verduras e legumes [bebidas].</w:t>
      </w:r>
    </w:p>
    <w:p>
      <w:pPr>
        <w:spacing w:after="240" w:line="360" w:lineRule="auto"/>
        <w:ind w:firstLine="1701"/>
        <w:jc w:val="both"/>
      </w:pPr>
      <w:r>
        <w:rPr>
          <w:rFonts w:ascii="Sora" w:hAnsi="Sora" w:eastAsia="Sora" w:cs="Sora"/>
          <w:b w:val="0"/>
          <w:caps w:val="0"/>
          <w:color w:val="595959"/>
          <w:sz w:val="24"/>
          <w:u w:val="none"/>
        </w:rPr>
        <w:t>A Classe 32 protege a comercialização de bebidas funcionais, com destaque para o chá verde e demais bebidas não alcoólicas voltadas ao público fitness e wellness.</w:t>
      </w:r>
    </w:p>
    <w:p>
      <w:pPr>
        <w:spacing w:after="240" w:line="360" w:lineRule="auto"/>
        <w:ind w:firstLine="1701"/>
        <w:jc w:val="both"/>
      </w:pPr>
      <w:r>
        <w:rPr>
          <w:rFonts w:ascii="Sora" w:hAnsi="Sora" w:eastAsia="Sora" w:cs="Sora"/>
          <w:b w:val="0"/>
          <w:caps w:val="0"/>
          <w:color w:val="595959"/>
          <w:sz w:val="24"/>
          <w:u w:val="none"/>
        </w:rPr>
        <w:t>O registro blinda a titular contra a apropriação do sinal por fabricantes de bebidas que atuem no mesmo nicho aspiracional de saúde e bem-estar.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(possui sinergia)</w:t>
      </w:r>
      <w:r>
        <w:rPr>
          <w:rFonts w:ascii="Sora" w:hAnsi="Sora" w:eastAsia="Sora" w:cs="Sora"/>
          <w:b w:val="0"/>
          <w:caps w:val="0"/>
          <w:color w:val="595959"/>
          <w:sz w:val="24"/>
          <w:u w:val="none"/>
        </w:rPr>
        <w:t xml:space="preserve"> – Marketing; promoção de vendas para terceiros; comércio, no varejo, de vestuário; publicidade on-line em rede de computadores; organização de eventos de moda para fins promocionais;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guarda sinergia com a operação de varejo de moda fitness e a eventual comercialização online dos produtos e bebidas.</w:t>
      </w:r>
    </w:p>
    <w:p>
      <w:pPr>
        <w:spacing w:after="240" w:line="360" w:lineRule="auto"/>
        <w:ind w:firstLine="1701"/>
        <w:jc w:val="both"/>
      </w:pPr>
      <w:r>
        <w:rPr>
          <w:rFonts w:ascii="Sora" w:hAnsi="Sora" w:eastAsia="Sora" w:cs="Sora"/>
          <w:b w:val="0"/>
          <w:caps w:val="0"/>
          <w:color w:val="595959"/>
          <w:sz w:val="24"/>
          <w:u w:val="none"/>
        </w:rPr>
        <w:t>O registro preventivo amplia o escudo registral, dificultando que terceiros utilizem o mesmo sinal em atividades de comércio varejista de vestuário ou promoção comercial no segmento de bem-estar.</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presente laudo consolida a análise de viabilidade registral de cinco marcas alternativas para o portfólio da requerente Eduarda Veiga.</w:t>
      </w:r>
    </w:p>
    <w:p>
      <w:pPr>
        <w:spacing w:after="240" w:line="360" w:lineRule="auto"/>
        <w:ind w:firstLine="1701"/>
        <w:jc w:val="both"/>
      </w:pPr>
      <w:r>
        <w:rPr>
          <w:rFonts w:ascii="Sora" w:hAnsi="Sora" w:eastAsia="Sora" w:cs="Sora"/>
          <w:b w:val="0"/>
          <w:caps w:val="0"/>
          <w:color w:val="595959"/>
          <w:sz w:val="24"/>
          <w:u w:val="none"/>
        </w:rPr>
        <w:t>As atividades compreendem: (a) roupas fitness no estilo old money; (b) salão de beleza e SPA; (c) studio de pilates; e (d) bebidas funcionais (chá verde).</w:t>
      </w:r>
    </w:p>
    <w:p>
      <w:pPr>
        <w:spacing w:after="240" w:line="360" w:lineRule="auto"/>
        <w:ind w:firstLine="1701"/>
        <w:jc w:val="both"/>
      </w:pPr>
      <w:r>
        <w:rPr>
          <w:rFonts w:ascii="Sora" w:hAnsi="Sora" w:eastAsia="Sora" w:cs="Sora"/>
          <w:b w:val="0"/>
          <w:caps w:val="0"/>
          <w:color w:val="595959"/>
          <w:sz w:val="24"/>
          <w:u w:val="none"/>
        </w:rPr>
        <w:t xml:space="preserve">As marcas analisadas são </w:t>
      </w:r>
      <w:r>
        <w:rPr>
          <w:rFonts w:ascii="Sora" w:hAnsi="Sora" w:eastAsia="Sora" w:cs="Sora"/>
          <w:b/>
          <w:caps w:val="0"/>
          <w:color w:val="595959"/>
          <w:sz w:val="24"/>
          <w:u w:val="none"/>
        </w:rPr>
        <w:t>VINCORI</w:t>
      </w:r>
      <w:r>
        <w:rPr>
          <w:rFonts w:ascii="Sora" w:hAnsi="Sora" w:eastAsia="Sora" w:cs="Sora"/>
          <w:b w:val="0"/>
          <w:caps w:val="0"/>
          <w:color w:val="595959"/>
          <w:sz w:val="24"/>
          <w:u w:val="none"/>
        </w:rPr>
        <w:t xml:space="preserve">, </w:t>
      </w:r>
      <w:r>
        <w:rPr>
          <w:rFonts w:ascii="Sora" w:hAnsi="Sora" w:eastAsia="Sora" w:cs="Sora"/>
          <w:b/>
          <w:caps w:val="0"/>
          <w:color w:val="595959"/>
          <w:sz w:val="24"/>
          <w:u w:val="none"/>
        </w:rPr>
        <w:t>VINCEZ</w:t>
      </w:r>
      <w:r>
        <w:rPr>
          <w:rFonts w:ascii="Sora" w:hAnsi="Sora" w:eastAsia="Sora" w:cs="Sora"/>
          <w:b w:val="0"/>
          <w:caps w:val="0"/>
          <w:color w:val="595959"/>
          <w:sz w:val="24"/>
          <w:u w:val="none"/>
        </w:rPr>
        <w:t xml:space="preserve">, </w:t>
      </w:r>
      <w:r>
        <w:rPr>
          <w:rFonts w:ascii="Sora" w:hAnsi="Sora" w:eastAsia="Sora" w:cs="Sora"/>
          <w:b/>
          <w:caps w:val="0"/>
          <w:color w:val="595959"/>
          <w:sz w:val="24"/>
          <w:u w:val="none"/>
        </w:rPr>
        <w:t>VELLANCE</w:t>
      </w:r>
      <w:r>
        <w:rPr>
          <w:rFonts w:ascii="Sora" w:hAnsi="Sora" w:eastAsia="Sora" w:cs="Sora"/>
          <w:b w:val="0"/>
          <w:caps w:val="0"/>
          <w:color w:val="595959"/>
          <w:sz w:val="24"/>
          <w:u w:val="none"/>
        </w:rPr>
        <w:t xml:space="preserve">, </w:t>
      </w:r>
      <w:r>
        <w:rPr>
          <w:rFonts w:ascii="Sora" w:hAnsi="Sora" w:eastAsia="Sora" w:cs="Sora"/>
          <w:b/>
          <w:caps w:val="0"/>
          <w:color w:val="595959"/>
          <w:sz w:val="24"/>
          <w:u w:val="none"/>
        </w:rPr>
        <w:t>VALORE</w:t>
      </w:r>
      <w:r>
        <w:rPr>
          <w:rFonts w:ascii="Sora" w:hAnsi="Sora" w:eastAsia="Sora" w:cs="Sora"/>
          <w:b w:val="0"/>
          <w:caps w:val="0"/>
          <w:color w:val="595959"/>
          <w:sz w:val="24"/>
          <w:u w:val="none"/>
        </w:rPr>
        <w:t xml:space="preserve"> e </w:t>
      </w:r>
      <w:r>
        <w:rPr>
          <w:rFonts w:ascii="Sora" w:hAnsi="Sora" w:eastAsia="Sora" w:cs="Sora"/>
          <w:b/>
          <w:caps w:val="0"/>
          <w:color w:val="595959"/>
          <w:sz w:val="24"/>
          <w:u w:val="none"/>
        </w:rPr>
        <w:t>VALMONT</w:t>
      </w:r>
      <w:r>
        <w:rPr>
          <w:rFonts w:ascii="Sora" w:hAnsi="Sora" w:eastAsia="Sora" w:cs="Sora"/>
          <w:b w:val="0"/>
          <w:caps w:val="0"/>
          <w:color w:val="595959"/>
          <w:sz w:val="24"/>
          <w:u w:val="none"/>
        </w:rPr>
        <w:t>, cada qual submetida aos três requisitos fundamentais de registrabilidade previstos na Lei de Propriedade Industrial (Lei n.º 9.279/1996): veracidade, liceidade e distintividade.</w:t>
      </w:r>
    </w:p>
    <w:p>
      <w:pPr>
        <w:keepNext/>
        <w:spacing w:before="320" w:after="160"/>
      </w:pPr>
      <w:r>
        <w:rPr>
          <w:rFonts w:ascii="Sora" w:hAnsi="Sora" w:eastAsia="Sora" w:cs="Sora"/>
          <w:b/>
          <w:caps w:val="0"/>
          <w:color w:val="9FEC14"/>
          <w:sz w:val="26"/>
          <w:u w:val="none"/>
        </w:rPr>
        <w:t>VINCORI</w:t>
      </w:r>
    </w:p>
    <w:p>
      <w:pPr>
        <w:spacing w:after="240" w:line="360" w:lineRule="auto"/>
        <w:ind w:firstLine="1701"/>
        <w:jc w:val="both"/>
      </w:pPr>
      <w:r>
        <w:rPr>
          <w:rFonts w:ascii="Sora" w:hAnsi="Sora" w:eastAsia="Sora" w:cs="Sora"/>
          <w:b w:val="0"/>
          <w:caps w:val="0"/>
          <w:color w:val="595959"/>
          <w:sz w:val="24"/>
          <w:u w:val="none"/>
        </w:rPr>
        <w:t>Neologismo de raiz latina construído sobre o radical "Vinc-" (do verbo "vincere" — vencer) acrescido do sufixo "-ori", conferindo sonoridade italiana.</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preservada: VINCORI não sugere procedência italiana nem atributo de "vitória" em sentido literal.</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é plena — o neologismo não incide em nenhuma hipótese do artigo 124 da LPI.</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classifica-se como </w:t>
      </w:r>
      <w:r>
        <w:rPr>
          <w:rFonts w:ascii="Sora" w:hAnsi="Sora" w:eastAsia="Sora" w:cs="Sora"/>
          <w:b/>
          <w:caps w:val="0"/>
          <w:color w:val="595959"/>
          <w:sz w:val="24"/>
          <w:u w:val="none"/>
        </w:rPr>
        <w:t>FANTASIOSA</w:t>
      </w:r>
      <w:r>
        <w:rPr>
          <w:rFonts w:ascii="Sora" w:hAnsi="Sora" w:eastAsia="Sora" w:cs="Sora"/>
          <w:b w:val="0"/>
          <w:caps w:val="0"/>
          <w:color w:val="595959"/>
          <w:sz w:val="24"/>
          <w:u w:val="none"/>
        </w:rPr>
        <w:t xml:space="preserve"> — grau máximo de proteção registral. A alternância vocálica (i-o-i) em três sílabas cria identidade sonora singular. Força distintiva: </w:t>
      </w:r>
      <w:r>
        <w:rPr>
          <w:rFonts w:ascii="Sora" w:hAnsi="Sora" w:eastAsia="Sora" w:cs="Sora"/>
          <w:b/>
          <w:caps w:val="0"/>
          <w:color w:val="595959"/>
          <w:sz w:val="24"/>
          <w:u w:val="none"/>
        </w:rPr>
        <w:t>MÁXIMA</w:t>
      </w:r>
      <w:r>
        <w:rPr>
          <w:rFonts w:ascii="Sora" w:hAnsi="Sora" w:eastAsia="Sora" w:cs="Sora"/>
          <w:b w:val="0"/>
          <w:caps w:val="0"/>
          <w:color w:val="595959"/>
          <w:sz w:val="24"/>
          <w:u w:val="none"/>
        </w:rPr>
        <w:t>.</w:t>
      </w:r>
    </w:p>
    <w:p>
      <w:pPr>
        <w:keepNext/>
        <w:spacing w:before="320" w:after="160"/>
      </w:pPr>
      <w:r>
        <w:rPr>
          <w:rFonts w:ascii="Sora" w:hAnsi="Sora" w:eastAsia="Sora" w:cs="Sora"/>
          <w:b/>
          <w:caps w:val="0"/>
          <w:color w:val="9FEC14"/>
          <w:sz w:val="26"/>
          <w:u w:val="none"/>
        </w:rPr>
        <w:t>VINCEZ</w:t>
      </w:r>
    </w:p>
    <w:p>
      <w:pPr>
        <w:spacing w:after="240" w:line="360" w:lineRule="auto"/>
        <w:ind w:firstLine="1701"/>
        <w:jc w:val="both"/>
      </w:pPr>
      <w:r>
        <w:rPr>
          <w:rFonts w:ascii="Sora" w:hAnsi="Sora" w:eastAsia="Sora" w:cs="Sora"/>
          <w:b w:val="0"/>
          <w:caps w:val="0"/>
          <w:color w:val="595959"/>
          <w:sz w:val="24"/>
          <w:u w:val="none"/>
        </w:rPr>
        <w:t>Neologismo de sonoridade franco-latina, construído sobre o radical "Vinc-" acrescido do sufixo "-ez", evocando terminação francesa.</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preservada — o sinal não induz a erro sobre procedência ou qualidade.</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é plena — neologismo puro sem conflitos com o art. 124.</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é igualmente </w:t>
      </w:r>
      <w:r>
        <w:rPr>
          <w:rFonts w:ascii="Sora" w:hAnsi="Sora" w:eastAsia="Sora" w:cs="Sora"/>
          <w:b/>
          <w:caps w:val="0"/>
          <w:color w:val="595959"/>
          <w:sz w:val="24"/>
          <w:u w:val="none"/>
        </w:rPr>
        <w:t>FANTASIOSA</w:t>
      </w:r>
      <w:r>
        <w:rPr>
          <w:rFonts w:ascii="Sora" w:hAnsi="Sora" w:eastAsia="Sora" w:cs="Sora"/>
          <w:b w:val="0"/>
          <w:caps w:val="0"/>
          <w:color w:val="595959"/>
          <w:sz w:val="24"/>
          <w:u w:val="none"/>
        </w:rPr>
        <w:t xml:space="preserve"> e de força </w:t>
      </w:r>
      <w:r>
        <w:rPr>
          <w:rFonts w:ascii="Sora" w:hAnsi="Sora" w:eastAsia="Sora" w:cs="Sora"/>
          <w:b/>
          <w:caps w:val="0"/>
          <w:color w:val="595959"/>
          <w:sz w:val="24"/>
          <w:u w:val="none"/>
        </w:rPr>
        <w:t>MÁXIMA</w:t>
      </w:r>
      <w:r>
        <w:rPr>
          <w:rFonts w:ascii="Sora" w:hAnsi="Sora" w:eastAsia="Sora" w:cs="Sora"/>
          <w:b w:val="0"/>
          <w:caps w:val="0"/>
          <w:color w:val="595959"/>
          <w:sz w:val="24"/>
          <w:u w:val="none"/>
        </w:rPr>
        <w:t>: VINCEZ não existe em nenhum idioma e não descreve atributo dos produtos ou serviços. Sua sonoridade compacta (duas sílabas, oxítona) potencializa a memorabilidade.</w:t>
      </w:r>
    </w:p>
    <w:p>
      <w:pPr>
        <w:keepNext/>
        <w:spacing w:before="320" w:after="160"/>
      </w:pPr>
      <w:r>
        <w:rPr>
          <w:rFonts w:ascii="Sora" w:hAnsi="Sora" w:eastAsia="Sora" w:cs="Sora"/>
          <w:b/>
          <w:caps w:val="0"/>
          <w:color w:val="9FEC14"/>
          <w:sz w:val="26"/>
          <w:u w:val="none"/>
        </w:rPr>
        <w:t>VELLANCE</w:t>
      </w:r>
    </w:p>
    <w:p>
      <w:pPr>
        <w:spacing w:after="240" w:line="360" w:lineRule="auto"/>
        <w:ind w:firstLine="1701"/>
        <w:jc w:val="both"/>
      </w:pPr>
      <w:r>
        <w:rPr>
          <w:rFonts w:ascii="Sora" w:hAnsi="Sora" w:eastAsia="Sora" w:cs="Sora"/>
          <w:b w:val="0"/>
          <w:caps w:val="0"/>
          <w:color w:val="595959"/>
          <w:sz w:val="24"/>
          <w:u w:val="none"/>
        </w:rPr>
        <w:t>Neologismo que funde radicais de "velluto" (veludo, italiano), "belle" (bela, francês) e "elegance" (elegância), com sufixo "-ance" de cadência francesa.</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é integral — não promete procedência ou atributo específico.</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é plena — neologismo sem conflito com hipóteses do art. 124.</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atinge o patamar </w:t>
      </w:r>
      <w:r>
        <w:rPr>
          <w:rFonts w:ascii="Sora" w:hAnsi="Sora" w:eastAsia="Sora" w:cs="Sora"/>
          <w:b/>
          <w:caps w:val="0"/>
          <w:color w:val="595959"/>
          <w:sz w:val="24"/>
          <w:u w:val="none"/>
        </w:rPr>
        <w:t>FANTASIOSO</w:t>
      </w:r>
      <w:r>
        <w:rPr>
          <w:rFonts w:ascii="Sora" w:hAnsi="Sora" w:eastAsia="Sora" w:cs="Sora"/>
          <w:b w:val="0"/>
          <w:caps w:val="0"/>
          <w:color w:val="595959"/>
          <w:sz w:val="24"/>
          <w:u w:val="none"/>
        </w:rPr>
        <w:t xml:space="preserve"> com força </w:t>
      </w:r>
      <w:r>
        <w:rPr>
          <w:rFonts w:ascii="Sora" w:hAnsi="Sora" w:eastAsia="Sora" w:cs="Sora"/>
          <w:b/>
          <w:caps w:val="0"/>
          <w:color w:val="595959"/>
          <w:sz w:val="24"/>
          <w:u w:val="none"/>
        </w:rPr>
        <w:t>MÁXIMA</w:t>
      </w:r>
      <w:r>
        <w:rPr>
          <w:rFonts w:ascii="Sora" w:hAnsi="Sora" w:eastAsia="Sora" w:cs="Sora"/>
          <w:b w:val="0"/>
          <w:caps w:val="0"/>
          <w:color w:val="595959"/>
          <w:sz w:val="24"/>
          <w:u w:val="none"/>
        </w:rPr>
        <w:t>: sem correspondência em nenhum idioma, oito letras que criam identidade visual memorável e difícil de reproduzir.</w:t>
      </w:r>
    </w:p>
    <w:p>
      <w:pPr>
        <w:keepNext/>
        <w:spacing w:before="320" w:after="160"/>
      </w:pPr>
      <w:r>
        <w:rPr>
          <w:rFonts w:ascii="Sora" w:hAnsi="Sora" w:eastAsia="Sora" w:cs="Sora"/>
          <w:b/>
          <w:caps w:val="0"/>
          <w:color w:val="9FEC14"/>
          <w:sz w:val="26"/>
          <w:u w:val="none"/>
        </w:rPr>
        <w:t>VALORE</w:t>
      </w:r>
    </w:p>
    <w:p>
      <w:pPr>
        <w:spacing w:after="240" w:line="360" w:lineRule="auto"/>
        <w:ind w:firstLine="1701"/>
        <w:jc w:val="both"/>
      </w:pPr>
      <w:r>
        <w:rPr>
          <w:rFonts w:ascii="Sora" w:hAnsi="Sora" w:eastAsia="Sora" w:cs="Sora"/>
          <w:b w:val="0"/>
          <w:caps w:val="0"/>
          <w:color w:val="595959"/>
          <w:sz w:val="24"/>
          <w:u w:val="none"/>
        </w:rPr>
        <w:t>Vocábulo de origem italiana que traduz literalmente "valor".</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preservada: o consumidor brasileiro compreenderá VALORE como denominação de fantasia que evoca sofisticação — não como promessa de valor pecuniário ou procedência europeia.</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é atendida — o vocábulo italiano não configura termo de uso comum necessário ao comércio nas classes pretendidas.</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posiciona VALORE na fronteira entre o </w:t>
      </w:r>
      <w:r>
        <w:rPr>
          <w:rFonts w:ascii="Sora" w:hAnsi="Sora" w:eastAsia="Sora" w:cs="Sora"/>
          <w:b/>
          <w:caps w:val="0"/>
          <w:color w:val="595959"/>
          <w:sz w:val="24"/>
          <w:u w:val="none"/>
        </w:rPr>
        <w:t>EVOCATIVO</w:t>
      </w:r>
      <w:r>
        <w:rPr>
          <w:rFonts w:ascii="Sora" w:hAnsi="Sora" w:eastAsia="Sora" w:cs="Sora"/>
          <w:b w:val="0"/>
          <w:caps w:val="0"/>
          <w:color w:val="595959"/>
          <w:sz w:val="24"/>
          <w:u w:val="none"/>
        </w:rPr>
        <w:t xml:space="preserve"> e o </w:t>
      </w:r>
      <w:r>
        <w:rPr>
          <w:rFonts w:ascii="Sora" w:hAnsi="Sora" w:eastAsia="Sora" w:cs="Sora"/>
          <w:b/>
          <w:caps w:val="0"/>
          <w:color w:val="595959"/>
          <w:sz w:val="24"/>
          <w:u w:val="none"/>
        </w:rPr>
        <w:t>ARBITRÁRIO</w:t>
      </w:r>
      <w:r>
        <w:rPr>
          <w:rFonts w:ascii="Sora" w:hAnsi="Sora" w:eastAsia="Sora" w:cs="Sora"/>
          <w:b w:val="0"/>
          <w:caps w:val="0"/>
          <w:color w:val="595959"/>
          <w:sz w:val="24"/>
          <w:u w:val="none"/>
        </w:rPr>
        <w:t xml:space="preserve">: o estrangeirismo acrescenta opacidade semântica que o distancia do consumidor comum. Força distintiva: </w:t>
      </w:r>
      <w:r>
        <w:rPr>
          <w:rFonts w:ascii="Sora" w:hAnsi="Sora" w:eastAsia="Sora" w:cs="Sora"/>
          <w:b/>
          <w:caps w:val="0"/>
          <w:color w:val="595959"/>
          <w:sz w:val="24"/>
          <w:u w:val="none"/>
        </w:rPr>
        <w:t>MODERADA A ALTA</w:t>
      </w:r>
      <w:r>
        <w:rPr>
          <w:rFonts w:ascii="Sora" w:hAnsi="Sora" w:eastAsia="Sora" w:cs="Sora"/>
          <w:b w:val="0"/>
          <w:caps w:val="0"/>
          <w:color w:val="595959"/>
          <w:sz w:val="24"/>
          <w:u w:val="none"/>
        </w:rPr>
        <w:t>.</w:t>
      </w:r>
    </w:p>
    <w:p>
      <w:pPr>
        <w:keepNext/>
        <w:spacing w:before="320" w:after="160"/>
      </w:pPr>
      <w:r>
        <w:rPr>
          <w:rFonts w:ascii="Sora" w:hAnsi="Sora" w:eastAsia="Sora" w:cs="Sora"/>
          <w:b/>
          <w:caps w:val="0"/>
          <w:color w:val="9FEC14"/>
          <w:sz w:val="26"/>
          <w:u w:val="none"/>
        </w:rPr>
        <w:t>VALMONT</w:t>
      </w:r>
    </w:p>
    <w:p>
      <w:pPr>
        <w:spacing w:after="240" w:line="360" w:lineRule="auto"/>
        <w:ind w:firstLine="1701"/>
        <w:jc w:val="both"/>
      </w:pPr>
      <w:r>
        <w:rPr>
          <w:rFonts w:ascii="Sora" w:hAnsi="Sora" w:eastAsia="Sora" w:cs="Sora"/>
          <w:b w:val="0"/>
          <w:caps w:val="0"/>
          <w:color w:val="595959"/>
          <w:sz w:val="24"/>
          <w:u w:val="none"/>
        </w:rPr>
        <w:t>Vocábulo composto pela junção dos radicais franco-latinos "Val" (vale) e "Mont" (monte), evocando topografia e aristocracia francesa.</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resta preservada — não sugere procedência geográfica específica.</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é plena — não se enquadra em hipóteses de irregistrabilidade.</w:t>
      </w:r>
    </w:p>
    <w:p>
      <w:pPr>
        <w:spacing w:after="240" w:line="360" w:lineRule="auto"/>
        <w:ind w:firstLine="1701"/>
        <w:jc w:val="both"/>
      </w:pPr>
      <w:r>
        <w:rPr>
          <w:rFonts w:ascii="Sora" w:hAnsi="Sora" w:eastAsia="Sora" w:cs="Sora"/>
          <w:b w:val="0"/>
          <w:caps w:val="0"/>
          <w:color w:val="595959"/>
          <w:sz w:val="24"/>
          <w:u w:val="none"/>
        </w:rPr>
        <w:t xml:space="preserve">A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posiciona o sinal entre </w:t>
      </w:r>
      <w:r>
        <w:rPr>
          <w:rFonts w:ascii="Sora" w:hAnsi="Sora" w:eastAsia="Sora" w:cs="Sora"/>
          <w:b/>
          <w:caps w:val="0"/>
          <w:color w:val="595959"/>
          <w:sz w:val="24"/>
          <w:u w:val="none"/>
        </w:rPr>
        <w:t>ARBITRÁRIO</w:t>
      </w:r>
      <w:r>
        <w:rPr>
          <w:rFonts w:ascii="Sora" w:hAnsi="Sora" w:eastAsia="Sora" w:cs="Sora"/>
          <w:b w:val="0"/>
          <w:caps w:val="0"/>
          <w:color w:val="595959"/>
          <w:sz w:val="24"/>
          <w:u w:val="none"/>
        </w:rPr>
        <w:t xml:space="preserve"> e </w:t>
      </w:r>
      <w:r>
        <w:rPr>
          <w:rFonts w:ascii="Sora" w:hAnsi="Sora" w:eastAsia="Sora" w:cs="Sora"/>
          <w:b/>
          <w:caps w:val="0"/>
          <w:color w:val="595959"/>
          <w:sz w:val="24"/>
          <w:u w:val="none"/>
        </w:rPr>
        <w:t>FANTASIOSO</w:t>
      </w:r>
      <w:r>
        <w:rPr>
          <w:rFonts w:ascii="Sora" w:hAnsi="Sora" w:eastAsia="Sora" w:cs="Sora"/>
          <w:b w:val="0"/>
          <w:caps w:val="0"/>
          <w:color w:val="595959"/>
          <w:sz w:val="24"/>
          <w:u w:val="none"/>
        </w:rPr>
        <w:t xml:space="preserve">: não há relação semântica entre vales, montes e os serviços pretendidos. Força distintiva: </w:t>
      </w:r>
      <w:r>
        <w:rPr>
          <w:rFonts w:ascii="Sora" w:hAnsi="Sora" w:eastAsia="Sora" w:cs="Sora"/>
          <w:b/>
          <w:caps w:val="0"/>
          <w:color w:val="595959"/>
          <w:sz w:val="24"/>
          <w:u w:val="none"/>
        </w:rPr>
        <w:t>ALTA</w:t>
      </w:r>
      <w:r>
        <w:rPr>
          <w:rFonts w:ascii="Sora" w:hAnsi="Sora" w:eastAsia="Sora" w:cs="Sora"/>
          <w:b w:val="0"/>
          <w:caps w:val="0"/>
          <w:color w:val="595959"/>
          <w:sz w:val="24"/>
          <w:u w:val="none"/>
        </w:rPr>
        <w:t>. O ponto de atenção reside na existência de anterioridades da marca suíça homônima de cosméticos de luxo.</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pesquisa de anterioridades foi conduzida individualmente para cada uma das cinco marcas junto à base de dados do INPI, nas Classes 25, 32, 35, 41 e 44.</w:t>
      </w:r>
    </w:p>
    <w:p>
      <w:pPr>
        <w:spacing w:after="240" w:line="360" w:lineRule="auto"/>
        <w:ind w:firstLine="1701"/>
        <w:jc w:val="both"/>
      </w:pPr>
      <w:r>
        <w:rPr>
          <w:rFonts w:ascii="Sora" w:hAnsi="Sora" w:eastAsia="Sora" w:cs="Sora"/>
          <w:b w:val="0"/>
          <w:caps w:val="0"/>
          <w:color w:val="595959"/>
          <w:sz w:val="24"/>
          <w:u w:val="none"/>
        </w:rPr>
        <w:t>Os resultados são apresentados abaixo em ordem decrescente de viabilidade registral, seguidos de um quadro comparativo consolidado ao final.</w:t>
      </w:r>
    </w:p>
    <w:p>
      <w:pPr>
        <w:keepNext/>
        <w:spacing w:before="320" w:after="160"/>
      </w:pPr>
      <w:r>
        <w:rPr>
          <w:rFonts w:ascii="Sora" w:hAnsi="Sora" w:eastAsia="Sora" w:cs="Sora"/>
          <w:b/>
          <w:caps w:val="0"/>
          <w:color w:val="9FEC14"/>
          <w:sz w:val="26"/>
          <w:u w:val="none"/>
        </w:rPr>
        <w:t>VINCORI — Viabilidade: MUITO PROVÁVEL</w:t>
      </w:r>
    </w:p>
    <w:p>
      <w:pPr>
        <w:spacing w:after="240" w:line="360" w:lineRule="auto"/>
        <w:ind w:firstLine="1701"/>
        <w:jc w:val="both"/>
      </w:pPr>
      <w:r>
        <w:rPr>
          <w:rFonts w:ascii="Sora" w:hAnsi="Sora" w:eastAsia="Sora" w:cs="Sora"/>
          <w:b w:val="0"/>
          <w:caps w:val="0"/>
          <w:color w:val="595959"/>
          <w:sz w:val="24"/>
          <w:u w:val="none"/>
        </w:rPr>
        <w:t>A varredura identificou seis anterioridades com o radical "VINC-".</w:t>
      </w:r>
    </w:p>
    <w:p>
      <w:pPr>
        <w:spacing w:after="240" w:line="360" w:lineRule="auto"/>
        <w:ind w:firstLine="1701"/>
        <w:jc w:val="both"/>
      </w:pPr>
      <w:r>
        <w:rPr>
          <w:rFonts w:ascii="Sora" w:hAnsi="Sora" w:eastAsia="Sora" w:cs="Sora"/>
          <w:b w:val="0"/>
          <w:caps w:val="0"/>
          <w:color w:val="595959"/>
          <w:sz w:val="24"/>
          <w:u w:val="none"/>
        </w:rPr>
        <w:t xml:space="preserve">A mais relevante é o registro </w:t>
      </w:r>
      <w:r>
        <w:rPr>
          <w:rFonts w:ascii="Sora" w:hAnsi="Sora" w:eastAsia="Sora" w:cs="Sora"/>
          <w:b/>
          <w:caps w:val="0"/>
          <w:color w:val="595959"/>
          <w:sz w:val="24"/>
          <w:u w:val="none"/>
        </w:rPr>
        <w:t>VINCITORE</w:t>
      </w:r>
      <w:r>
        <w:rPr>
          <w:rFonts w:ascii="Sora" w:hAnsi="Sora" w:eastAsia="Sora" w:cs="Sora"/>
          <w:b w:val="0"/>
          <w:caps w:val="0"/>
          <w:color w:val="595959"/>
          <w:sz w:val="24"/>
          <w:u w:val="none"/>
        </w:rPr>
        <w:t xml:space="preserve"> (processo 917516141), marca nominativa concedida na Classe 25 para vestuário. VINCORI (VIN-CO-RI, três sílabas) e VINCITORE (VIN-CI-TO-RE, quatro sílabas) apresentam diferenças estruturais significativas: sílabas distintas a partir da segunda posição, tonicidade divergente e impressão fonética global distinguível.</w:t>
      </w:r>
    </w:p>
    <w:p>
      <w:pPr>
        <w:spacing w:after="240" w:line="360" w:lineRule="auto"/>
        <w:ind w:firstLine="1701"/>
        <w:jc w:val="both"/>
      </w:pPr>
      <w:r>
        <w:rPr>
          <w:rFonts w:ascii="Sora" w:hAnsi="Sora" w:eastAsia="Sora" w:cs="Sora"/>
          <w:b w:val="0"/>
          <w:caps w:val="0"/>
          <w:color w:val="595959"/>
          <w:sz w:val="24"/>
          <w:u w:val="none"/>
        </w:rPr>
        <w:t xml:space="preserve">Na Classe 44, a marca </w:t>
      </w:r>
      <w:r>
        <w:rPr>
          <w:rFonts w:ascii="Sora" w:hAnsi="Sora" w:eastAsia="Sora" w:cs="Sora"/>
          <w:b/>
          <w:caps w:val="0"/>
          <w:color w:val="595959"/>
          <w:sz w:val="24"/>
          <w:u w:val="none"/>
        </w:rPr>
        <w:t>SPAZIO VINCITORE</w:t>
      </w:r>
      <w:r>
        <w:rPr>
          <w:rFonts w:ascii="Sora" w:hAnsi="Sora" w:eastAsia="Sora" w:cs="Sora"/>
          <w:b w:val="0"/>
          <w:caps w:val="0"/>
          <w:color w:val="595959"/>
          <w:sz w:val="24"/>
          <w:u w:val="none"/>
        </w:rPr>
        <w:t xml:space="preserve"> (processo 911529179) opera no segmento de estética, porém como expressão composta com logotipo — risco moderado-baixo.</w:t>
      </w:r>
    </w:p>
    <w:p>
      <w:pPr>
        <w:spacing w:after="240" w:line="360" w:lineRule="auto"/>
        <w:ind w:firstLine="1701"/>
        <w:jc w:val="both"/>
      </w:pPr>
      <w:r>
        <w:rPr>
          <w:rFonts w:ascii="Sora" w:hAnsi="Sora" w:eastAsia="Sora" w:cs="Sora"/>
          <w:b w:val="0"/>
          <w:caps w:val="0"/>
          <w:color w:val="595959"/>
          <w:sz w:val="24"/>
          <w:u w:val="none"/>
        </w:rPr>
        <w:t>Os demais processos — VINCITORE na Classe 35 para máquinas, CLINICA VICTORINE ESTETICA e V Y VICTORINY — apresentam risco baixo a nulo.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Síntese:</w:t>
      </w:r>
      <w:r>
        <w:rPr>
          <w:rFonts w:ascii="Sora" w:hAnsi="Sora" w:eastAsia="Sora" w:cs="Sora"/>
          <w:b w:val="0"/>
          <w:caps w:val="0"/>
          <w:color w:val="595959"/>
          <w:sz w:val="24"/>
          <w:u w:val="none"/>
        </w:rPr>
        <w:t xml:space="preserve"> Classes 25 e 35 com risco moderado mitigável. Classes 44, 41 e 32 com campo livre ou risco baixo. </w:t>
      </w:r>
      <w:r>
        <w:rPr>
          <w:rFonts w:ascii="Sora" w:hAnsi="Sora" w:eastAsia="Sora" w:cs="Sora"/>
          <w:b/>
          <w:caps w:val="0"/>
          <w:color w:val="595959"/>
          <w:sz w:val="24"/>
          <w:u w:val="none"/>
        </w:rPr>
        <w:t>VINCORI é a marca com melhor equilíbrio entre sonoridade italiana premium e segurança registral.</w:t>
      </w:r>
      <w:r>
        <w:rPr>
          <w:rFonts w:ascii="Sora" w:hAnsi="Sora" w:eastAsia="Sora" w:cs="Sora"/>
          <w:b w:val="0"/>
          <w:caps w:val="0"/>
          <w:color w:val="595959"/>
          <w:sz w:val="24"/>
          <w:u w:val="none"/>
        </w:rPr>
      </w:r>
    </w:p>
    <w:p>
      <w:pPr>
        <w:keepNext/>
        <w:spacing w:before="320" w:after="160"/>
      </w:pPr>
      <w:r>
        <w:rPr>
          <w:rFonts w:ascii="Sora" w:hAnsi="Sora" w:eastAsia="Sora" w:cs="Sora"/>
          <w:b/>
          <w:caps w:val="0"/>
          <w:color w:val="9FEC14"/>
          <w:sz w:val="26"/>
          <w:u w:val="none"/>
        </w:rPr>
        <w:t>VINCEZ — Viabilidade: ALTAMENTE PROVÁVEL</w:t>
      </w:r>
    </w:p>
    <w:p>
      <w:pPr>
        <w:spacing w:after="240" w:line="360" w:lineRule="auto"/>
        <w:ind w:firstLine="1701"/>
        <w:jc w:val="both"/>
      </w:pPr>
      <w:r>
        <w:rPr>
          <w:rFonts w:ascii="Sora" w:hAnsi="Sora" w:eastAsia="Sora" w:cs="Sora"/>
          <w:b w:val="0"/>
          <w:caps w:val="0"/>
          <w:color w:val="595959"/>
          <w:sz w:val="24"/>
          <w:u w:val="none"/>
        </w:rPr>
        <w:t>O campo marcário apresenta-se notavelmente limpo.</w:t>
      </w:r>
    </w:p>
    <w:p>
      <w:pPr>
        <w:spacing w:after="240" w:line="360" w:lineRule="auto"/>
        <w:ind w:firstLine="1701"/>
        <w:jc w:val="both"/>
      </w:pPr>
      <w:r>
        <w:rPr>
          <w:rFonts w:ascii="Sora" w:hAnsi="Sora" w:eastAsia="Sora" w:cs="Sora"/>
          <w:b w:val="0"/>
          <w:caps w:val="0"/>
          <w:color w:val="595959"/>
          <w:sz w:val="24"/>
          <w:u w:val="none"/>
        </w:rPr>
        <w:t xml:space="preserve">Das três anterioridades identificadas, </w:t>
      </w:r>
      <w:r>
        <w:rPr>
          <w:rFonts w:ascii="Sora" w:hAnsi="Sora" w:eastAsia="Sora" w:cs="Sora"/>
          <w:b/>
          <w:caps w:val="0"/>
          <w:color w:val="595959"/>
          <w:sz w:val="24"/>
          <w:u w:val="none"/>
        </w:rPr>
        <w:t>VINCE COSMÉTICOS</w:t>
      </w:r>
      <w:r>
        <w:rPr>
          <w:rFonts w:ascii="Sora" w:hAnsi="Sora" w:eastAsia="Sora" w:cs="Sora"/>
          <w:b w:val="0"/>
          <w:caps w:val="0"/>
          <w:color w:val="595959"/>
          <w:sz w:val="24"/>
          <w:u w:val="none"/>
        </w:rPr>
        <w:t xml:space="preserve"> (processo 900768088) está indeferida — risco nulo. </w:t>
      </w:r>
      <w:r>
        <w:rPr>
          <w:rFonts w:ascii="Sora" w:hAnsi="Sora" w:eastAsia="Sora" w:cs="Sora"/>
          <w:b/>
          <w:caps w:val="0"/>
          <w:color w:val="595959"/>
          <w:sz w:val="24"/>
          <w:u w:val="none"/>
        </w:rPr>
        <w:t>VINCE CAMUTO</w:t>
      </w:r>
      <w:r>
        <w:rPr>
          <w:rFonts w:ascii="Sora" w:hAnsi="Sora" w:eastAsia="Sora" w:cs="Sora"/>
          <w:b w:val="0"/>
          <w:caps w:val="0"/>
          <w:color w:val="595959"/>
          <w:sz w:val="24"/>
          <w:u w:val="none"/>
        </w:rPr>
        <w:t xml:space="preserve"> (processo 831019786) é grife internacional consagrada — risco baixo, pois o consumidor não confundirá marca de luxo com neologismo fantasioso.</w:t>
      </w:r>
    </w:p>
    <w:p>
      <w:pPr>
        <w:spacing w:after="240" w:line="360" w:lineRule="auto"/>
        <w:ind w:firstLine="1701"/>
        <w:jc w:val="both"/>
      </w:pPr>
      <w:r>
        <w:rPr>
          <w:rFonts w:ascii="Sora" w:hAnsi="Sora" w:eastAsia="Sora" w:cs="Sora"/>
          <w:b w:val="0"/>
          <w:caps w:val="0"/>
          <w:color w:val="595959"/>
          <w:sz w:val="24"/>
          <w:u w:val="none"/>
        </w:rPr>
        <w:t xml:space="preserve">A anterioridade mais relevante é </w:t>
      </w:r>
      <w:r>
        <w:rPr>
          <w:rFonts w:ascii="Sora" w:hAnsi="Sora" w:eastAsia="Sora" w:cs="Sora"/>
          <w:b/>
          <w:caps w:val="0"/>
          <w:color w:val="595959"/>
          <w:sz w:val="24"/>
          <w:u w:val="none"/>
        </w:rPr>
        <w:t>VINCEN CLUB</w:t>
      </w:r>
      <w:r>
        <w:rPr>
          <w:rFonts w:ascii="Sora" w:hAnsi="Sora" w:eastAsia="Sora" w:cs="Sora"/>
          <w:b w:val="0"/>
          <w:caps w:val="0"/>
          <w:color w:val="595959"/>
          <w:sz w:val="24"/>
          <w:u w:val="none"/>
        </w:rPr>
        <w:t xml:space="preserve"> (processo 934408947), marca mista na Classe 35. A presença do elemento "CLUB" e a apresentação mista diluem a semelhança — risco moderado-baixo.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Síntese:</w:t>
      </w:r>
      <w:r>
        <w:rPr>
          <w:rFonts w:ascii="Sora" w:hAnsi="Sora" w:eastAsia="Sora" w:cs="Sora"/>
          <w:b w:val="0"/>
          <w:caps w:val="0"/>
          <w:color w:val="595959"/>
          <w:sz w:val="24"/>
          <w:u w:val="none"/>
        </w:rPr>
        <w:t xml:space="preserve"> Classes 25, 44, 41 e 32 com campo livre para depósito imediato. Classe 35 com risco moderado-baixo. </w:t>
      </w:r>
      <w:r>
        <w:rPr>
          <w:rFonts w:ascii="Sora" w:hAnsi="Sora" w:eastAsia="Sora" w:cs="Sora"/>
          <w:b/>
          <w:caps w:val="0"/>
          <w:color w:val="595959"/>
          <w:sz w:val="24"/>
          <w:u w:val="none"/>
        </w:rPr>
        <w:t>VINCEZ é a marca com maior facilidade registral entre as cinco alternativas.</w:t>
      </w:r>
      <w:r>
        <w:rPr>
          <w:rFonts w:ascii="Sora" w:hAnsi="Sora" w:eastAsia="Sora" w:cs="Sora"/>
          <w:b w:val="0"/>
          <w:caps w:val="0"/>
          <w:color w:val="595959"/>
          <w:sz w:val="24"/>
          <w:u w:val="none"/>
        </w:rPr>
      </w:r>
    </w:p>
    <w:p>
      <w:pPr>
        <w:keepNext/>
        <w:spacing w:before="320" w:after="160"/>
      </w:pPr>
      <w:r>
        <w:rPr>
          <w:rFonts w:ascii="Sora" w:hAnsi="Sora" w:eastAsia="Sora" w:cs="Sora"/>
          <w:b/>
          <w:caps w:val="0"/>
          <w:color w:val="9FEC14"/>
          <w:sz w:val="26"/>
          <w:u w:val="none"/>
        </w:rPr>
        <w:t>VELLANCE — Viabilidade: PROVÁVEL (globalmente favorável)</w:t>
      </w:r>
    </w:p>
    <w:p>
      <w:pPr>
        <w:spacing w:after="240" w:line="360" w:lineRule="auto"/>
        <w:ind w:firstLine="1701"/>
        <w:jc w:val="both"/>
      </w:pPr>
      <w:r>
        <w:rPr>
          <w:rFonts w:ascii="Sora" w:hAnsi="Sora" w:eastAsia="Sora" w:cs="Sora"/>
          <w:b w:val="0"/>
          <w:caps w:val="0"/>
          <w:color w:val="595959"/>
          <w:sz w:val="24"/>
          <w:u w:val="none"/>
        </w:rPr>
        <w:t>A pesquisa identificou quatro anterioridades.</w:t>
      </w:r>
    </w:p>
    <w:p>
      <w:pPr>
        <w:spacing w:after="240" w:line="360" w:lineRule="auto"/>
        <w:ind w:firstLine="1701"/>
        <w:jc w:val="both"/>
      </w:pPr>
      <w:r>
        <w:rPr>
          <w:rFonts w:ascii="Sora" w:hAnsi="Sora" w:eastAsia="Sora" w:cs="Sora"/>
          <w:b w:val="0"/>
          <w:caps w:val="0"/>
          <w:color w:val="595959"/>
          <w:sz w:val="24"/>
          <w:u w:val="none"/>
        </w:rPr>
        <w:t xml:space="preserve">A mais crítica é </w:t>
      </w:r>
      <w:r>
        <w:rPr>
          <w:rFonts w:ascii="Sora" w:hAnsi="Sora" w:eastAsia="Sora" w:cs="Sora"/>
          <w:b/>
          <w:caps w:val="0"/>
          <w:color w:val="595959"/>
          <w:sz w:val="24"/>
          <w:u w:val="none"/>
        </w:rPr>
        <w:t>VELANSE VELAS E AROMAS</w:t>
      </w:r>
      <w:r>
        <w:rPr>
          <w:rFonts w:ascii="Sora" w:hAnsi="Sora" w:eastAsia="Sora" w:cs="Sora"/>
          <w:b w:val="0"/>
          <w:caps w:val="0"/>
          <w:color w:val="595959"/>
          <w:sz w:val="24"/>
          <w:u w:val="none"/>
        </w:rPr>
        <w:t xml:space="preserve"> (processo 934127069), registro em vigor na Classe 35 para comércio de velas e aromas. A proximidade fonética entre VELLANCE e VELANSE é moderada a alta, e o INPI já demonstrou postura restritiva ao indeferir VELANCE HAIR &amp; BEAUTY por colidência com este registro.</w:t>
      </w:r>
    </w:p>
    <w:p>
      <w:pPr>
        <w:spacing w:after="240" w:line="360" w:lineRule="auto"/>
        <w:ind w:firstLine="1701"/>
        <w:jc w:val="both"/>
      </w:pPr>
      <w:r>
        <w:rPr>
          <w:rFonts w:ascii="Sora" w:hAnsi="Sora" w:eastAsia="Sora" w:cs="Sora"/>
          <w:b w:val="0"/>
          <w:caps w:val="0"/>
          <w:color w:val="595959"/>
          <w:sz w:val="24"/>
          <w:u w:val="none"/>
        </w:rPr>
        <w:t>Contudo, a distância mercadológica entre velas decorativas e moda fitness é substancial, e VELLANCE apresenta diferenças gráficas relevantes: geminação do "L" e ausência de descritores.</w:t>
      </w:r>
    </w:p>
    <w:p>
      <w:pPr>
        <w:spacing w:after="240" w:line="360" w:lineRule="auto"/>
        <w:ind w:firstLine="1701"/>
        <w:jc w:val="both"/>
      </w:pPr>
      <w:r>
        <w:rPr>
          <w:rFonts w:ascii="Sora" w:hAnsi="Sora" w:eastAsia="Sora" w:cs="Sora"/>
          <w:b w:val="0"/>
          <w:caps w:val="0"/>
          <w:color w:val="595959"/>
          <w:sz w:val="24"/>
          <w:u w:val="none"/>
        </w:rPr>
        <w:t xml:space="preserve">As demais anterioridades — </w:t>
      </w:r>
      <w:r>
        <w:rPr>
          <w:rFonts w:ascii="Sora" w:hAnsi="Sora" w:eastAsia="Sora" w:cs="Sora"/>
          <w:b/>
          <w:caps w:val="0"/>
          <w:color w:val="595959"/>
          <w:sz w:val="24"/>
          <w:u w:val="none"/>
        </w:rPr>
        <w:t>VELANCE HAIR &amp; BEAUTY</w:t>
      </w:r>
      <w:r>
        <w:rPr>
          <w:rFonts w:ascii="Sora" w:hAnsi="Sora" w:eastAsia="Sora" w:cs="Sora"/>
          <w:b w:val="0"/>
          <w:caps w:val="0"/>
          <w:color w:val="595959"/>
          <w:sz w:val="24"/>
          <w:u w:val="none"/>
        </w:rPr>
        <w:t xml:space="preserve"> (indeferida), </w:t>
      </w:r>
      <w:r>
        <w:rPr>
          <w:rFonts w:ascii="Sora" w:hAnsi="Sora" w:eastAsia="Sora" w:cs="Sora"/>
          <w:b/>
          <w:caps w:val="0"/>
          <w:color w:val="595959"/>
          <w:sz w:val="24"/>
          <w:u w:val="none"/>
        </w:rPr>
        <w:t>Éllance High Professionals</w:t>
      </w:r>
      <w:r>
        <w:rPr>
          <w:rFonts w:ascii="Sora" w:hAnsi="Sora" w:eastAsia="Sora" w:cs="Sora"/>
          <w:b w:val="0"/>
          <w:caps w:val="0"/>
          <w:color w:val="595959"/>
          <w:sz w:val="24"/>
          <w:u w:val="none"/>
        </w:rPr>
        <w:t xml:space="preserve"> (sob oposição de terceiro) e </w:t>
      </w:r>
      <w:r>
        <w:rPr>
          <w:rFonts w:ascii="Sora" w:hAnsi="Sora" w:eastAsia="Sora" w:cs="Sora"/>
          <w:b/>
          <w:caps w:val="0"/>
          <w:color w:val="595959"/>
          <w:sz w:val="24"/>
          <w:u w:val="none"/>
        </w:rPr>
        <w:t>FRANCELLE</w:t>
      </w:r>
      <w:r>
        <w:rPr>
          <w:rFonts w:ascii="Sora" w:hAnsi="Sora" w:eastAsia="Sora" w:cs="Sora"/>
          <w:b w:val="0"/>
          <w:caps w:val="0"/>
          <w:color w:val="595959"/>
          <w:sz w:val="24"/>
          <w:u w:val="none"/>
        </w:rPr>
        <w:t xml:space="preserve"> (distância fonética ampla) — representam risco baixo a inexistente.</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Síntese:</w:t>
      </w:r>
      <w:r>
        <w:rPr>
          <w:rFonts w:ascii="Sora" w:hAnsi="Sora" w:eastAsia="Sora" w:cs="Sora"/>
          <w:b w:val="0"/>
          <w:caps w:val="0"/>
          <w:color w:val="595959"/>
          <w:sz w:val="24"/>
          <w:u w:val="none"/>
        </w:rPr>
        <w:t xml:space="preserve"> Classes 25, 44, 41 e 32 com viabilidade alta. Classe 35 com risco moderado. </w:t>
      </w:r>
      <w:r>
        <w:rPr>
          <w:rFonts w:ascii="Sora" w:hAnsi="Sora" w:eastAsia="Sora" w:cs="Sora"/>
          <w:b/>
          <w:caps w:val="0"/>
          <w:color w:val="595959"/>
          <w:sz w:val="24"/>
          <w:u w:val="none"/>
        </w:rPr>
        <w:t>VELLANCE é a marca com maior força distintiva (fantasiosa pura) e excelente perfil registral nas classes nucleares.</w:t>
      </w:r>
      <w:r>
        <w:rPr>
          <w:rFonts w:ascii="Sora" w:hAnsi="Sora" w:eastAsia="Sora" w:cs="Sora"/>
          <w:b w:val="0"/>
          <w:caps w:val="0"/>
          <w:color w:val="595959"/>
          <w:sz w:val="24"/>
          <w:u w:val="none"/>
        </w:rPr>
      </w:r>
    </w:p>
    <w:p>
      <w:pPr>
        <w:keepNext/>
        <w:spacing w:before="320" w:after="160"/>
      </w:pPr>
      <w:r>
        <w:rPr>
          <w:rFonts w:ascii="Sora" w:hAnsi="Sora" w:eastAsia="Sora" w:cs="Sora"/>
          <w:b/>
          <w:caps w:val="0"/>
          <w:color w:val="9FEC14"/>
          <w:sz w:val="26"/>
          <w:u w:val="none"/>
        </w:rPr>
        <w:t>VALORE — Viabilidade: PROVÁVEL (classes nucleares livres)</w:t>
      </w:r>
    </w:p>
    <w:p>
      <w:pPr>
        <w:spacing w:after="240" w:line="360" w:lineRule="auto"/>
        <w:ind w:firstLine="1701"/>
        <w:jc w:val="both"/>
      </w:pPr>
      <w:r>
        <w:rPr>
          <w:rFonts w:ascii="Sora" w:hAnsi="Sora" w:eastAsia="Sora" w:cs="Sora"/>
          <w:b w:val="0"/>
          <w:caps w:val="0"/>
          <w:color w:val="595959"/>
          <w:sz w:val="24"/>
          <w:u w:val="none"/>
        </w:rPr>
        <w:t xml:space="preserve">As Classes 25, 44, 41 e 32 encontram-se </w:t>
      </w:r>
      <w:r>
        <w:rPr>
          <w:rFonts w:ascii="Sora" w:hAnsi="Sora" w:eastAsia="Sora" w:cs="Sora"/>
          <w:b/>
          <w:caps w:val="0"/>
          <w:color w:val="595959"/>
          <w:sz w:val="24"/>
          <w:u w:val="none"/>
        </w:rPr>
        <w:t>livres de anterioridades diretas</w:t>
      </w:r>
      <w:r>
        <w:rPr>
          <w:rFonts w:ascii="Sora" w:hAnsi="Sora" w:eastAsia="Sora" w:cs="Sora"/>
          <w:b w:val="0"/>
          <w:caps w:val="0"/>
          <w:color w:val="595959"/>
          <w:sz w:val="24"/>
          <w:u w:val="none"/>
        </w:rPr>
        <w:t xml:space="preserve"> — condição excepcionalmente favorável ao registro nas atividades-fim.</w:t>
      </w:r>
    </w:p>
    <w:p>
      <w:pPr>
        <w:spacing w:after="240" w:line="360" w:lineRule="auto"/>
        <w:ind w:firstLine="1701"/>
        <w:jc w:val="both"/>
      </w:pPr>
      <w:r>
        <w:rPr>
          <w:rFonts w:ascii="Sora" w:hAnsi="Sora" w:eastAsia="Sora" w:cs="Sora"/>
          <w:b w:val="0"/>
          <w:caps w:val="0"/>
          <w:color w:val="595959"/>
          <w:sz w:val="24"/>
          <w:u w:val="none"/>
        </w:rPr>
        <w:t xml:space="preserve">O cenário de colidência concentra-se na Classe 35. O pedido </w:t>
      </w:r>
      <w:r>
        <w:rPr>
          <w:rFonts w:ascii="Sora" w:hAnsi="Sora" w:eastAsia="Sora" w:cs="Sora"/>
          <w:b/>
          <w:caps w:val="0"/>
          <w:color w:val="595959"/>
          <w:sz w:val="24"/>
          <w:u w:val="none"/>
        </w:rPr>
        <w:t>VALORE</w:t>
      </w:r>
      <w:r>
        <w:rPr>
          <w:rFonts w:ascii="Sora" w:hAnsi="Sora" w:eastAsia="Sora" w:cs="Sora"/>
          <w:b w:val="0"/>
          <w:caps w:val="0"/>
          <w:color w:val="595959"/>
          <w:sz w:val="24"/>
          <w:u w:val="none"/>
        </w:rPr>
        <w:t xml:space="preserve"> (processo 942231856) é graficamente idêntico ao sinal pretendido, com especificação voltada a administração de cartão de benefícios, governança corporativa e soluções digitais. A Tese da Especialidade sustenta a convivência, pois os segmentos são diametralmente distintos.</w:t>
      </w:r>
    </w:p>
    <w:p>
      <w:pPr>
        <w:spacing w:after="240" w:line="360" w:lineRule="auto"/>
        <w:ind w:firstLine="1701"/>
        <w:jc w:val="both"/>
      </w:pPr>
      <w:r>
        <w:rPr>
          <w:rFonts w:ascii="Sora" w:hAnsi="Sora" w:eastAsia="Sora" w:cs="Sora"/>
          <w:b w:val="0"/>
          <w:caps w:val="0"/>
          <w:color w:val="595959"/>
          <w:sz w:val="24"/>
          <w:u w:val="none"/>
        </w:rPr>
        <w:t xml:space="preserve">O segundo processo, </w:t>
      </w:r>
      <w:r>
        <w:rPr>
          <w:rFonts w:ascii="Sora" w:hAnsi="Sora" w:eastAsia="Sora" w:cs="Sora"/>
          <w:b/>
          <w:caps w:val="0"/>
          <w:color w:val="595959"/>
          <w:sz w:val="24"/>
          <w:u w:val="none"/>
        </w:rPr>
        <w:t>VALORIE</w:t>
      </w:r>
      <w:r>
        <w:rPr>
          <w:rFonts w:ascii="Sora" w:hAnsi="Sora" w:eastAsia="Sora" w:cs="Sora"/>
          <w:b w:val="0"/>
          <w:caps w:val="0"/>
          <w:color w:val="595959"/>
          <w:sz w:val="24"/>
          <w:u w:val="none"/>
        </w:rPr>
        <w:t xml:space="preserve"> (processo 938742930), apresenta proximidade fonética e especificação para comércio de vestuário — risco mais elevado na Classe 35.</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Síntese:</w:t>
      </w:r>
      <w:r>
        <w:rPr>
          <w:rFonts w:ascii="Sora" w:hAnsi="Sora" w:eastAsia="Sora" w:cs="Sora"/>
          <w:b w:val="0"/>
          <w:caps w:val="0"/>
          <w:color w:val="595959"/>
          <w:sz w:val="24"/>
          <w:u w:val="none"/>
        </w:rPr>
        <w:t xml:space="preserve"> Classes 25, 44, 41 e 32 com viabilidade alta e campo livre. Classe 35 com risco alto a moderado-alto. As dificuldades na Classe 35 </w:t>
      </w:r>
      <w:r>
        <w:rPr>
          <w:rFonts w:ascii="Sora" w:hAnsi="Sora" w:eastAsia="Sora" w:cs="Sora"/>
          <w:b/>
          <w:caps w:val="0"/>
          <w:color w:val="595959"/>
          <w:sz w:val="24"/>
          <w:u w:val="none"/>
        </w:rPr>
        <w:t>não comprometem</w:t>
      </w:r>
      <w:r>
        <w:rPr>
          <w:rFonts w:ascii="Sora" w:hAnsi="Sora" w:eastAsia="Sora" w:cs="Sora"/>
          <w:b w:val="0"/>
          <w:caps w:val="0"/>
          <w:color w:val="595959"/>
          <w:sz w:val="24"/>
          <w:u w:val="none"/>
        </w:rPr>
        <w:t xml:space="preserve"> a viabilidade nas classes nucleares.</w:t>
      </w:r>
    </w:p>
    <w:p>
      <w:pPr>
        <w:keepNext/>
        <w:spacing w:before="320" w:after="160"/>
      </w:pPr>
      <w:r>
        <w:rPr>
          <w:rFonts w:ascii="Sora" w:hAnsi="Sora" w:eastAsia="Sora" w:cs="Sora"/>
          <w:b/>
          <w:caps w:val="0"/>
          <w:color w:val="9FEC14"/>
          <w:sz w:val="26"/>
          <w:u w:val="none"/>
        </w:rPr>
        <w:t>VALMONT — Viabilidade: PROVÁVEL COM RESSALVAS (atenção na Classe 44)</w:t>
      </w:r>
    </w:p>
    <w:p>
      <w:pPr>
        <w:spacing w:after="240" w:line="360" w:lineRule="auto"/>
        <w:ind w:firstLine="1701"/>
        <w:jc w:val="both"/>
      </w:pPr>
      <w:r>
        <w:rPr>
          <w:rFonts w:ascii="Sora" w:hAnsi="Sora" w:eastAsia="Sora" w:cs="Sora"/>
          <w:b w:val="0"/>
          <w:caps w:val="0"/>
          <w:color w:val="595959"/>
          <w:sz w:val="24"/>
          <w:u w:val="none"/>
        </w:rPr>
        <w:t xml:space="preserve">O principal vetor de risco é o registro </w:t>
      </w:r>
      <w:r>
        <w:rPr>
          <w:rFonts w:ascii="Sora" w:hAnsi="Sora" w:eastAsia="Sora" w:cs="Sora"/>
          <w:b/>
          <w:caps w:val="0"/>
          <w:color w:val="595959"/>
          <w:sz w:val="24"/>
          <w:u w:val="none"/>
        </w:rPr>
        <w:t>V VALMONT</w:t>
      </w:r>
      <w:r>
        <w:rPr>
          <w:rFonts w:ascii="Sora" w:hAnsi="Sora" w:eastAsia="Sora" w:cs="Sora"/>
          <w:b w:val="0"/>
          <w:caps w:val="0"/>
          <w:color w:val="595959"/>
          <w:sz w:val="24"/>
          <w:u w:val="none"/>
        </w:rPr>
        <w:t xml:space="preserve"> (processo 815862571), da CVL COSMETICS S.A. — casa suíça de cosméticos de luxo — na Classe 03, com vigência até 2036 e representação pelo escritório Kasznar Leonardos.</w:t>
      </w:r>
    </w:p>
    <w:p>
      <w:pPr>
        <w:spacing w:after="240" w:line="360" w:lineRule="auto"/>
        <w:ind w:firstLine="1701"/>
        <w:jc w:val="both"/>
      </w:pPr>
      <w:r>
        <w:rPr>
          <w:rFonts w:ascii="Sora" w:hAnsi="Sora" w:eastAsia="Sora" w:cs="Sora"/>
          <w:b w:val="0"/>
          <w:caps w:val="0"/>
          <w:color w:val="595959"/>
          <w:sz w:val="24"/>
          <w:u w:val="none"/>
        </w:rPr>
        <w:t>A afinidade mercadológica entre cosméticos de luxo (Classe 03) e serviços de salão de beleza/SPA (Classe 44) é reconhecida pelo INPI, tornando a Classe 44 o ponto mais sensível desta análise.</w:t>
      </w:r>
    </w:p>
    <w:p>
      <w:pPr>
        <w:spacing w:after="240" w:line="360" w:lineRule="auto"/>
        <w:ind w:firstLine="1701"/>
        <w:jc w:val="both"/>
      </w:pPr>
      <w:r>
        <w:rPr>
          <w:rFonts w:ascii="Sora" w:hAnsi="Sora" w:eastAsia="Sora" w:cs="Sora"/>
          <w:b w:val="0"/>
          <w:caps w:val="0"/>
          <w:color w:val="595959"/>
          <w:sz w:val="24"/>
          <w:u w:val="none"/>
        </w:rPr>
        <w:t xml:space="preserve">Na Classe 35, três anterioridades adicionais: </w:t>
      </w:r>
      <w:r>
        <w:rPr>
          <w:rFonts w:ascii="Sora" w:hAnsi="Sora" w:eastAsia="Sora" w:cs="Sora"/>
          <w:b/>
          <w:caps w:val="0"/>
          <w:color w:val="595959"/>
          <w:sz w:val="24"/>
          <w:u w:val="none"/>
        </w:rPr>
        <w:t>VALMONT &amp; CO</w:t>
      </w:r>
      <w:r>
        <w:rPr>
          <w:rFonts w:ascii="Sora" w:hAnsi="Sora" w:eastAsia="Sora" w:cs="Sora"/>
          <w:b w:val="0"/>
          <w:caps w:val="0"/>
          <w:color w:val="595959"/>
          <w:sz w:val="24"/>
          <w:u w:val="none"/>
        </w:rPr>
        <w:t xml:space="preserve"> (joalheria), </w:t>
      </w:r>
      <w:r>
        <w:rPr>
          <w:rFonts w:ascii="Sora" w:hAnsi="Sora" w:eastAsia="Sora" w:cs="Sora"/>
          <w:b/>
          <w:caps w:val="0"/>
          <w:color w:val="595959"/>
          <w:sz w:val="24"/>
          <w:u w:val="none"/>
        </w:rPr>
        <w:t>VELMONT</w:t>
      </w:r>
      <w:r>
        <w:rPr>
          <w:rFonts w:ascii="Sora" w:hAnsi="Sora" w:eastAsia="Sora" w:cs="Sora"/>
          <w:b w:val="0"/>
          <w:caps w:val="0"/>
          <w:color w:val="595959"/>
          <w:sz w:val="24"/>
          <w:u w:val="none"/>
        </w:rPr>
        <w:t xml:space="preserve"> (chocolates) e </w:t>
      </w:r>
      <w:r>
        <w:rPr>
          <w:rFonts w:ascii="Sora" w:hAnsi="Sora" w:eastAsia="Sora" w:cs="Sora"/>
          <w:b/>
          <w:caps w:val="0"/>
          <w:color w:val="595959"/>
          <w:sz w:val="24"/>
          <w:u w:val="none"/>
        </w:rPr>
        <w:t>CALMONT</w:t>
      </w:r>
      <w:r>
        <w:rPr>
          <w:rFonts w:ascii="Sora" w:hAnsi="Sora" w:eastAsia="Sora" w:cs="Sora"/>
          <w:b w:val="0"/>
          <w:caps w:val="0"/>
          <w:color w:val="595959"/>
          <w:sz w:val="24"/>
          <w:u w:val="none"/>
        </w:rPr>
        <w:t xml:space="preserve"> (vestuário — empresa possivelmente inativa).</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Síntese:</w:t>
      </w:r>
      <w:r>
        <w:rPr>
          <w:rFonts w:ascii="Sora" w:hAnsi="Sora" w:eastAsia="Sora" w:cs="Sora"/>
          <w:b w:val="0"/>
          <w:caps w:val="0"/>
          <w:color w:val="595959"/>
          <w:sz w:val="24"/>
          <w:u w:val="none"/>
        </w:rPr>
        <w:t xml:space="preserve"> Classe 44 com risco alto — recomenda-se marca alternativa para o salão ou apresentação mista fortemente diferenciada. Classes 25, 41 e 32 com viabilidade moderada a alta. Classe 35 com viabilidade moderada a baixa. </w:t>
      </w:r>
      <w:r>
        <w:rPr>
          <w:rFonts w:ascii="Sora" w:hAnsi="Sora" w:eastAsia="Sora" w:cs="Sora"/>
          <w:b/>
          <w:caps w:val="0"/>
          <w:color w:val="595959"/>
          <w:sz w:val="24"/>
          <w:u w:val="none"/>
        </w:rPr>
        <w:t>Recomenda-se busca complementar pela titular CVL COSMETICS S.A. antes de qualquer depósito.</w:t>
      </w:r>
      <w:r>
        <w:rPr>
          <w:rFonts w:ascii="Sora" w:hAnsi="Sora" w:eastAsia="Sora" w:cs="Sora"/>
          <w:b w:val="0"/>
          <w:caps w:val="0"/>
          <w:color w:val="595959"/>
          <w:sz w:val="24"/>
          <w:u w:val="none"/>
        </w:rPr>
      </w:r>
    </w:p>
    <w:p>
      <w:pPr>
        <w:keepNext/>
        <w:spacing w:before="320" w:after="160"/>
      </w:pPr>
      <w:r>
        <w:rPr>
          <w:rFonts w:ascii="Sora" w:hAnsi="Sora" w:eastAsia="Sora" w:cs="Sora"/>
          <w:b/>
          <w:caps w:val="0"/>
          <w:color w:val="9FEC14"/>
          <w:sz w:val="26"/>
          <w:u w:val="none"/>
        </w:rPr>
        <w:t>QUADRO COMPARATIVO CONSOLIDADO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Ranking de viabilidade global (do mais viável ao mais arriscado):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 Posição | Marca | Viabilidade Global | Classe 25 | Classe 44 | Classe 41 | Classe 32 | Classe 35 |</w:t>
      </w:r>
    </w:p>
    <w:p>
      <w:pPr>
        <w:spacing w:after="240" w:line="360" w:lineRule="auto"/>
        <w:ind w:firstLine="1701"/>
        <w:jc w:val="both"/>
      </w:pP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 1º | </w:t>
      </w:r>
      <w:r>
        <w:rPr>
          <w:rFonts w:ascii="Sora" w:hAnsi="Sora" w:eastAsia="Sora" w:cs="Sora"/>
          <w:b/>
          <w:caps w:val="0"/>
          <w:color w:val="595959"/>
          <w:sz w:val="24"/>
          <w:u w:val="none"/>
        </w:rPr>
        <w:t>VINCEZ</w:t>
      </w:r>
      <w:r>
        <w:rPr>
          <w:rFonts w:ascii="Sora" w:hAnsi="Sora" w:eastAsia="Sora" w:cs="Sora"/>
          <w:b w:val="0"/>
          <w:caps w:val="0"/>
          <w:color w:val="595959"/>
          <w:sz w:val="24"/>
          <w:u w:val="none"/>
        </w:rPr>
        <w:t xml:space="preserve"> | ALTAMENTE PROVÁVEL | Livre | Livre | Livre | Livre | Baixo |</w:t>
      </w:r>
    </w:p>
    <w:p>
      <w:pPr>
        <w:spacing w:after="240" w:line="360" w:lineRule="auto"/>
        <w:ind w:firstLine="1701"/>
        <w:jc w:val="both"/>
      </w:pPr>
      <w:r>
        <w:rPr>
          <w:rFonts w:ascii="Sora" w:hAnsi="Sora" w:eastAsia="Sora" w:cs="Sora"/>
          <w:b w:val="0"/>
          <w:caps w:val="0"/>
          <w:color w:val="595959"/>
          <w:sz w:val="24"/>
          <w:u w:val="none"/>
        </w:rPr>
        <w:t xml:space="preserve">| 2º | </w:t>
      </w:r>
      <w:r>
        <w:rPr>
          <w:rFonts w:ascii="Sora" w:hAnsi="Sora" w:eastAsia="Sora" w:cs="Sora"/>
          <w:b/>
          <w:caps w:val="0"/>
          <w:color w:val="595959"/>
          <w:sz w:val="24"/>
          <w:u w:val="none"/>
        </w:rPr>
        <w:t>VINCORI</w:t>
      </w:r>
      <w:r>
        <w:rPr>
          <w:rFonts w:ascii="Sora" w:hAnsi="Sora" w:eastAsia="Sora" w:cs="Sora"/>
          <w:b w:val="0"/>
          <w:caps w:val="0"/>
          <w:color w:val="595959"/>
          <w:sz w:val="24"/>
          <w:u w:val="none"/>
        </w:rPr>
        <w:t xml:space="preserve"> | MUITO PROVÁVEL | Moderado | Mod-Baixo | Livre | Livre | Baixo |</w:t>
      </w:r>
    </w:p>
    <w:p>
      <w:pPr>
        <w:spacing w:after="240" w:line="360" w:lineRule="auto"/>
        <w:ind w:firstLine="1701"/>
        <w:jc w:val="both"/>
      </w:pPr>
      <w:r>
        <w:rPr>
          <w:rFonts w:ascii="Sora" w:hAnsi="Sora" w:eastAsia="Sora" w:cs="Sora"/>
          <w:b w:val="0"/>
          <w:caps w:val="0"/>
          <w:color w:val="595959"/>
          <w:sz w:val="24"/>
          <w:u w:val="none"/>
        </w:rPr>
        <w:t xml:space="preserve">| 3º | </w:t>
      </w:r>
      <w:r>
        <w:rPr>
          <w:rFonts w:ascii="Sora" w:hAnsi="Sora" w:eastAsia="Sora" w:cs="Sora"/>
          <w:b/>
          <w:caps w:val="0"/>
          <w:color w:val="595959"/>
          <w:sz w:val="24"/>
          <w:u w:val="none"/>
        </w:rPr>
        <w:t>VELLANCE</w:t>
      </w:r>
      <w:r>
        <w:rPr>
          <w:rFonts w:ascii="Sora" w:hAnsi="Sora" w:eastAsia="Sora" w:cs="Sora"/>
          <w:b w:val="0"/>
          <w:caps w:val="0"/>
          <w:color w:val="595959"/>
          <w:sz w:val="24"/>
          <w:u w:val="none"/>
        </w:rPr>
        <w:t xml:space="preserve"> | PROVÁVEL | Alta | Alta | Alta | Alta | Moderado |</w:t>
      </w:r>
    </w:p>
    <w:p>
      <w:pPr>
        <w:spacing w:after="240" w:line="360" w:lineRule="auto"/>
        <w:ind w:firstLine="1701"/>
        <w:jc w:val="both"/>
      </w:pPr>
      <w:r>
        <w:rPr>
          <w:rFonts w:ascii="Sora" w:hAnsi="Sora" w:eastAsia="Sora" w:cs="Sora"/>
          <w:b w:val="0"/>
          <w:caps w:val="0"/>
          <w:color w:val="595959"/>
          <w:sz w:val="24"/>
          <w:u w:val="none"/>
        </w:rPr>
        <w:t xml:space="preserve">| 4º | </w:t>
      </w:r>
      <w:r>
        <w:rPr>
          <w:rFonts w:ascii="Sora" w:hAnsi="Sora" w:eastAsia="Sora" w:cs="Sora"/>
          <w:b/>
          <w:caps w:val="0"/>
          <w:color w:val="595959"/>
          <w:sz w:val="24"/>
          <w:u w:val="none"/>
        </w:rPr>
        <w:t>VALORE</w:t>
      </w:r>
      <w:r>
        <w:rPr>
          <w:rFonts w:ascii="Sora" w:hAnsi="Sora" w:eastAsia="Sora" w:cs="Sora"/>
          <w:b w:val="0"/>
          <w:caps w:val="0"/>
          <w:color w:val="595959"/>
          <w:sz w:val="24"/>
          <w:u w:val="none"/>
        </w:rPr>
        <w:t xml:space="preserve"> | PROVÁVEL | Alta | Alta | Alta | Alta | Alto |</w:t>
      </w:r>
    </w:p>
    <w:p>
      <w:pPr>
        <w:spacing w:after="240" w:line="360" w:lineRule="auto"/>
        <w:ind w:firstLine="1701"/>
        <w:jc w:val="both"/>
      </w:pPr>
      <w:r>
        <w:rPr>
          <w:rFonts w:ascii="Sora" w:hAnsi="Sora" w:eastAsia="Sora" w:cs="Sora"/>
          <w:b w:val="0"/>
          <w:caps w:val="0"/>
          <w:color w:val="595959"/>
          <w:sz w:val="24"/>
          <w:u w:val="none"/>
        </w:rPr>
        <w:t xml:space="preserve">| 5º | </w:t>
      </w:r>
      <w:r>
        <w:rPr>
          <w:rFonts w:ascii="Sora" w:hAnsi="Sora" w:eastAsia="Sora" w:cs="Sora"/>
          <w:b/>
          <w:caps w:val="0"/>
          <w:color w:val="595959"/>
          <w:sz w:val="24"/>
          <w:u w:val="none"/>
        </w:rPr>
        <w:t>VALMONT</w:t>
      </w:r>
      <w:r>
        <w:rPr>
          <w:rFonts w:ascii="Sora" w:hAnsi="Sora" w:eastAsia="Sora" w:cs="Sora"/>
          <w:b w:val="0"/>
          <w:caps w:val="0"/>
          <w:color w:val="595959"/>
          <w:sz w:val="24"/>
          <w:u w:val="none"/>
        </w:rPr>
        <w:t xml:space="preserve"> | PROVÁVEL C/ RESSALVAS | Moderada | Baixa | Alta | Alta | Mod-Baixa |</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Recomendação final:</w:t>
      </w:r>
      <w:r>
        <w:rPr>
          <w:rFonts w:ascii="Sora" w:hAnsi="Sora" w:eastAsia="Sora" w:cs="Sora"/>
          <w:b w:val="0"/>
          <w:caps w:val="0"/>
          <w:color w:val="595959"/>
          <w:sz w:val="24"/>
          <w:u w:val="none"/>
        </w:rPr>
        <w:t xml:space="preserve"> As cinco marcas são registráveis nas classes nucleares do negócio (25, 44, 41, 32).</w:t>
      </w:r>
    </w:p>
    <w:p>
      <w:pPr>
        <w:spacing w:after="240" w:line="360" w:lineRule="auto"/>
        <w:ind w:firstLine="1701"/>
        <w:jc w:val="both"/>
      </w:pPr>
      <w:r>
        <w:rPr>
          <w:rFonts w:ascii="Sora" w:hAnsi="Sora" w:eastAsia="Sora" w:cs="Sora"/>
          <w:b w:val="0"/>
          <w:caps w:val="0"/>
          <w:color w:val="595959"/>
          <w:sz w:val="24"/>
          <w:u w:val="none"/>
        </w:rPr>
        <w:t>VINCEZ oferece o caminho registral mais limpo. VINCORI combina segurança com identidade sonora premium. VELLANCE destaca-se pela força distintiva máxima. VALORE tem campo livre nas classes-core com ressalva na 35. VALMONT exige cautela específica na Classe 44 em razão da marca suíça de cosméticos de luxo.</w:t>
      </w:r>
    </w:p>
    <w:p>
      <w:pPr>
        <w:spacing w:after="240" w:line="360" w:lineRule="auto"/>
        <w:ind w:firstLine="1701"/>
        <w:jc w:val="both"/>
      </w:pPr>
      <w:r>
        <w:rPr>
          <w:rFonts w:ascii="Sora" w:hAnsi="Sora" w:eastAsia="Sora" w:cs="Sora"/>
          <w:b w:val="0"/>
          <w:caps w:val="0"/>
          <w:color w:val="595959"/>
          <w:sz w:val="24"/>
          <w:u w:val="none"/>
        </w:rPr>
        <w:t>A decisão final sobre qual marca adotar cabe à requerente, considerando fatores de branding, posicionamento mercadológico e estratégia de longo prazo — sendo que, do ponto de vista estritamente registral, qualquer das cinco alternativas é viável para as atividades pretendidas.</w:t>
      </w:r>
    </w:p>
    <w:p>
      <w:pPr>
        <w:spacing w:before="720"/>
        <w:jc w:val="right"/>
      </w:pPr>
      <w:r>
        <w:rPr>
          <w:rFonts w:ascii="Sora" w:hAnsi="Sora" w:eastAsia="Sora" w:cs="Sora"/>
          <w:b w:val="0"/>
          <w:caps w:val="0"/>
          <w:color w:val="595959"/>
          <w:sz w:val="24"/>
          <w:u w:val="none"/>
        </w:rPr>
        <w:t>É o parecer.</w:t>
        <w:br/>
        <w:t>12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