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ora" w:hAnsi="Sora" w:eastAsia="Sora" w:cs="Sora"/>
          <w:b/>
          <w:caps/>
          <w:color w:val="9FEC14"/>
          <w:sz w:val="52"/>
          <w:u w:val="none"/>
        </w:rPr>
        <w:t>LAUDO DE VIABILIDADE</w:t>
      </w:r>
    </w:p>
    <w:p>
      <w:pPr>
        <w:keepNext/>
        <w:spacing w:before="480" w:after="240"/>
        <w:pBdr>
          <w:bottom w:val="single" w:sz="24" w:space="4" w:color="9FEC14"/>
        </w:pBdr>
      </w:pPr>
      <w:r>
        <w:rPr>
          <w:rFonts w:ascii="Sora" w:hAnsi="Sora" w:eastAsia="Sora" w:cs="Sora"/>
          <w:b/>
          <w:caps/>
          <w:color w:val="9FEC14"/>
          <w:sz w:val="32"/>
          <w:u w:val="none"/>
        </w:rPr>
        <w:t>1. INTRODUÇÃO</w:t>
      </w:r>
    </w:p>
    <w:p>
      <w:pPr>
        <w:spacing w:after="240" w:line="360" w:lineRule="auto"/>
        <w:ind w:firstLine="1701"/>
        <w:jc w:val="both"/>
      </w:pPr>
      <w:r>
        <w:rPr>
          <w:rFonts w:ascii="Sora" w:hAnsi="Sora" w:eastAsia="Sora" w:cs="Sora"/>
          <w:b w:val="0"/>
          <w:caps w:val="0"/>
          <w:color w:val="595959"/>
          <w:sz w:val="24"/>
          <w:u w:val="none"/>
        </w:rPr>
        <w:t>Este documento tem como objetivo avaliar a viabilidade de registrar a marca denominada “Valore”, considerando o risco de rejeição. Nossa conclusão é uma avaliação baseada em opinião e não garante que o Instituto Nacional da Propriedade Intelectual (INPI) irá deferir ou negar o pedido. No entanto, garantimos que realizamos todos os esforços necessários na pesquisa de similaridade de marca.</w:t>
      </w:r>
    </w:p>
    <w:p>
      <w:pPr>
        <w:spacing w:after="240" w:line="360" w:lineRule="auto"/>
        <w:ind w:firstLine="1701"/>
        <w:jc w:val="both"/>
      </w:pPr>
      <w:r>
        <w:rPr>
          <w:rFonts w:ascii="Sora" w:hAnsi="Sora" w:eastAsia="Sora" w:cs="Sora"/>
          <w:b w:val="0"/>
          <w:caps w:val="0"/>
          <w:color w:val="595959"/>
          <w:sz w:val="24"/>
          <w:u w:val="none"/>
        </w:rPr>
        <w:t>Independentemente do resultado, a decisão de registrar a marca cabe ao cliente. Estaremos focados em apresentar o laudo da melhor forma possível.</w:t>
      </w:r>
    </w:p>
    <w:p>
      <w:pPr>
        <w:spacing w:after="240" w:line="360" w:lineRule="auto"/>
        <w:ind w:firstLine="1701"/>
        <w:jc w:val="both"/>
      </w:pPr>
      <w:r>
        <w:rPr>
          <w:rFonts w:ascii="Sora" w:hAnsi="Sora" w:eastAsia="Sora" w:cs="Sora"/>
          <w:b w:val="0"/>
          <w:caps w:val="0"/>
          <w:color w:val="595959"/>
          <w:sz w:val="24"/>
          <w:u w:val="none"/>
        </w:rPr>
        <w:t>Considerando o exposto, é possível efetuar o registro de marcas em diferentes formas, tais como nominativa (baseada no nome), mista (combinando um logo e o nome), figurativa (centrada apenas no logo) e até mesmo tridimensional (representando a configuração física de um produto específico).</w:t>
      </w:r>
    </w:p>
    <w:p>
      <w:pPr>
        <w:spacing w:after="240" w:line="360" w:lineRule="auto"/>
        <w:ind w:firstLine="1701"/>
        <w:jc w:val="both"/>
      </w:pPr>
      <w:r>
        <w:rPr>
          <w:rFonts w:ascii="Sora" w:hAnsi="Sora" w:eastAsia="Sora" w:cs="Sora"/>
          <w:b w:val="0"/>
          <w:caps w:val="0"/>
          <w:color w:val="595959"/>
          <w:sz w:val="24"/>
          <w:u w:val="none"/>
        </w:rPr>
        <w:t>Nesta circunstância, após a submissão do requerimento de registro de marca ao INPI, será divulgado na RPI – Revista da Propriedade Industrial, dando início ao prazo legal de 60 (sessenta) dias para que terceiros possam opor-se, sendo concedido ao titular o mesmo período para apresentar sua defesa.</w:t>
      </w:r>
    </w:p>
    <w:p>
      <w:pPr>
        <w:spacing w:after="240" w:line="360" w:lineRule="auto"/>
        <w:ind w:firstLine="1701"/>
        <w:jc w:val="both"/>
      </w:pPr>
      <w:r>
        <w:rPr>
          <w:rFonts w:ascii="Sora" w:hAnsi="Sora" w:eastAsia="Sora" w:cs="Sora"/>
          <w:b w:val="0"/>
          <w:caps w:val="0"/>
          <w:color w:val="595959"/>
          <w:sz w:val="24"/>
          <w:u w:val="none"/>
        </w:rPr>
        <w:t>Após esse procedimento, o INPI analisará as oposições apresentadas e realizará a avaliação substancial do pedido de registro da marca, assegurando-se de que esta atenda aos quatro requisitos estabelecidos. Estes requisitos são:</w:t>
      </w:r>
    </w:p>
    <w:p>
      <w:pPr>
        <w:spacing w:after="240" w:line="360" w:lineRule="auto"/>
        <w:ind w:firstLine="1701"/>
        <w:jc w:val="both"/>
      </w:pPr>
      <w:r>
        <w:rPr>
          <w:rFonts w:ascii="Sora" w:hAnsi="Sora" w:eastAsia="Sora" w:cs="Sora"/>
          <w:b/>
          <w:caps w:val="0"/>
          <w:color w:val="595959"/>
          <w:sz w:val="24"/>
          <w:u w:val="single"/>
        </w:rPr>
        <w:t>VERACIDADE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A marca não pode ter caráter enganoso que induza o público a erro quanto à origem, procedência, natureza, qualidade ou utilidade do produto ou serviço a que se destina. – Previsto no inciso X do art. 124 da LPI.</w:t>
      </w:r>
    </w:p>
    <w:p>
      <w:pPr>
        <w:spacing w:after="240" w:line="360" w:lineRule="auto"/>
        <w:ind w:firstLine="1701"/>
        <w:jc w:val="both"/>
      </w:pPr>
      <w:r>
        <w:rPr>
          <w:rFonts w:ascii="Sora" w:hAnsi="Sora" w:eastAsia="Sora" w:cs="Sora"/>
          <w:b/>
          <w:caps w:val="0"/>
          <w:color w:val="595959"/>
          <w:sz w:val="24"/>
          <w:u w:val="single"/>
        </w:rPr>
        <w:t>LICEIDADE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 dispõe que a marca não pode conter elementos característicos presentes em símbolos oficiais, e também não pode conter elementos que contrariam à moral e aos bons costumes. – Previsto nos incisos I, III, XI e XIV do art. 124 da LPI.</w:t>
      </w:r>
    </w:p>
    <w:p>
      <w:pPr>
        <w:spacing w:after="240" w:line="360" w:lineRule="auto"/>
        <w:ind w:firstLine="1701"/>
        <w:jc w:val="both"/>
      </w:pPr>
      <w:r>
        <w:rPr>
          <w:rFonts w:ascii="Sora" w:hAnsi="Sora" w:eastAsia="Sora" w:cs="Sora"/>
          <w:b/>
          <w:caps w:val="0"/>
          <w:color w:val="595959"/>
          <w:sz w:val="24"/>
          <w:u w:val="single"/>
        </w:rPr>
        <w:t>DISTINTIVIDADE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requisitos dispõe que é condição fundamental e função da marca enquanto signo diferenciador de produtos e serviços. – Previsto nos incisos incisos II, VI, VII, VIII, XVIII e XXI do art. 124 da LPI.</w:t>
      </w:r>
    </w:p>
    <w:p>
      <w:pPr>
        <w:spacing w:after="240" w:line="360" w:lineRule="auto"/>
        <w:ind w:firstLine="1701"/>
        <w:jc w:val="both"/>
      </w:pPr>
      <w:r>
        <w:rPr>
          <w:rFonts w:ascii="Sora" w:hAnsi="Sora" w:eastAsia="Sora" w:cs="Sora"/>
          <w:b/>
          <w:caps w:val="0"/>
          <w:color w:val="595959"/>
          <w:sz w:val="24"/>
          <w:u w:val="single"/>
        </w:rPr>
        <w:t>NOVIDADE / DISPONIBILIDADE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Os aspectos gráfico, fonético e ideológico da marca precisam ser exibido de uma forma diferente dos demais já existentes em determinado ramo ou classe. – Previsto nos arts. 124, incisos IV, V, IX, XII, XIII, XV, XVI, XVII, XIX, XX, XXII e XXIII, 125 e 126 da LPI.</w:t>
      </w:r>
    </w:p>
    <w:p>
      <w:pPr>
        <w:spacing w:after="240" w:line="360" w:lineRule="auto"/>
        <w:ind w:firstLine="1701"/>
        <w:jc w:val="both"/>
      </w:pPr>
      <w:r>
        <w:rPr>
          <w:rFonts w:ascii="Sora" w:hAnsi="Sora" w:eastAsia="Sora" w:cs="Sora"/>
          <w:b w:val="0"/>
          <w:caps w:val="0"/>
          <w:color w:val="595959"/>
          <w:sz w:val="24"/>
          <w:u w:val="none"/>
        </w:rPr>
        <w:t>Entre os requisitos mencionados, a partir da análise de vários pedidos que foram indeferidos, nota-se que o critério da novidade é frequentemente o principal motivo de indeferimento, devido à sua natureza abrangente e complexa.</w:t>
      </w:r>
    </w:p>
    <w:p>
      <w:pPr>
        <w:spacing w:after="240" w:line="360" w:lineRule="auto"/>
        <w:ind w:firstLine="1701"/>
        <w:jc w:val="both"/>
      </w:pPr>
      <w:r>
        <w:rPr>
          <w:rFonts w:ascii="Sora" w:hAnsi="Sora" w:eastAsia="Sora" w:cs="Sora"/>
          <w:b w:val="0"/>
          <w:caps w:val="0"/>
          <w:color w:val="595959"/>
          <w:sz w:val="24"/>
          <w:u w:val="none"/>
        </w:rPr>
        <w:t>Após avaliar o pedido à luz dos quatro requisitos estipulados, o INPI emitirá uma decisão, que poderá ser de indeferimento, concedendo à parte um prazo de 60 dias para apresentar recurso, ou de deferimento, ocasião em que será emitida a certidão de concessão da marca dentro do mesmo prazo após a decisão.</w:t>
      </w:r>
    </w:p>
    <w:p>
      <w:pPr>
        <w:spacing w:after="240" w:line="360" w:lineRule="auto"/>
        <w:ind w:firstLine="1701"/>
        <w:jc w:val="both"/>
      </w:pPr>
      <w:r>
        <w:rPr>
          <w:rFonts w:ascii="Sora" w:hAnsi="Sora" w:eastAsia="Sora" w:cs="Sora"/>
          <w:b w:val="0"/>
          <w:caps w:val="0"/>
          <w:color w:val="595959"/>
          <w:sz w:val="24"/>
          <w:u w:val="none"/>
        </w:rPr>
        <w:t>Com a concessão da marca, o INPI procederá com uma nova publicação na RPI – Revista da Propriedade Industrial, marcando o início do prazo de 180 dias (cento e oitenta) dias para que terceiros possam apresentar Processo Administrativo de Nulidade, buscando anular a marca. No caso de tal pedido de nulidade, o titular da marca terá o prazo de 60 dias para contestá-lo, sendo a decisão final sobre o assunto de competência do Presidente do INPI.</w:t>
      </w:r>
    </w:p>
    <w:p>
      <w:pPr>
        <w:spacing w:after="240" w:line="360" w:lineRule="auto"/>
        <w:ind w:firstLine="1701"/>
        <w:jc w:val="both"/>
      </w:pPr>
      <w:r>
        <w:rPr>
          <w:rFonts w:ascii="Sora" w:hAnsi="Sora" w:eastAsia="Sora" w:cs="Sora"/>
          <w:b w:val="0"/>
          <w:caps w:val="0"/>
          <w:color w:val="595959"/>
          <w:sz w:val="24"/>
          <w:u w:val="none"/>
        </w:rPr>
        <w:t>Para facilitar melhor a compreensão do processo de registro de marca, anexa-se o fluxograma abaixo demonstrando expressamento o processo adotado pelo INPI até concessão do registro da marca:</w:t>
      </w:r>
    </w:p>
    <w:p>
      <w:pPr>
        <w:spacing w:after="240" w:line="360" w:lineRule="auto"/>
        <w:ind w:firstLine="1701"/>
        <w:jc w:val="both"/>
      </w:pPr>
      <w:r>
        <w:rPr>
          <w:rFonts w:ascii="Sora" w:hAnsi="Sora" w:eastAsia="Sora" w:cs="Sora"/>
          <w:b w:val="0"/>
          <w:caps w:val="0"/>
          <w:color w:val="595959"/>
          <w:sz w:val="24"/>
          <w:u w:val="none"/>
        </w:rPr>
        <w:t>Diante do exposto introdutório sobre o procedimento adotado pelo INPI para registro de marca, prosseguimos agora com uma análise voltada ao segmento de mercado do cliente. Nessa análise, buscamos identificar as classes mais adequadas para registro, visando ampliar a proteção da marca em todo o seu ramo.</w:t>
      </w:r>
    </w:p>
    <w:p>
      <w:r>
        <w:br w:type="page"/>
      </w:r>
    </w:p>
    <w:p>
      <w:pPr>
        <w:keepNext/>
        <w:spacing w:before="480" w:after="240"/>
        <w:pBdr>
          <w:bottom w:val="single" w:sz="24" w:space="4" w:color="9FEC14"/>
        </w:pBdr>
      </w:pPr>
      <w:r>
        <w:rPr>
          <w:rFonts w:ascii="Sora" w:hAnsi="Sora" w:eastAsia="Sora" w:cs="Sora"/>
          <w:b/>
          <w:caps/>
          <w:color w:val="9FEC14"/>
          <w:sz w:val="32"/>
          <w:u w:val="none"/>
        </w:rPr>
        <w:t>2. CLASSES RECOMENDADAS</w:t>
      </w:r>
    </w:p>
    <w:p>
      <w:pPr>
        <w:spacing w:after="240" w:line="360" w:lineRule="auto"/>
        <w:ind w:firstLine="1701"/>
        <w:jc w:val="both"/>
      </w:pPr>
      <w:r>
        <w:rPr>
          <w:rFonts w:ascii="Sora" w:hAnsi="Sora" w:eastAsia="Sora" w:cs="Sora"/>
          <w:b w:val="0"/>
          <w:caps w:val="0"/>
          <w:color w:val="595959"/>
          <w:sz w:val="24"/>
          <w:u w:val="none"/>
        </w:rPr>
        <w:t>Nesta seção, iremos expor nossas sugestões sobre quais classes independentes são aconselháveis para registro conforme o seguimento da empresa. Sabe-se que a empresa tem como atividade o desenvolvimento de roupas fitness no estilo old money, operação de salão de beleza e SPA, studio de pilates e comercialização de bebidas funcionais (chá verde).</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25 (muito recomendável)</w:t>
      </w:r>
      <w:r>
        <w:rPr>
          <w:rFonts w:ascii="Sora" w:hAnsi="Sora" w:eastAsia="Sora" w:cs="Sora"/>
          <w:b w:val="0"/>
          <w:caps w:val="0"/>
          <w:color w:val="595959"/>
          <w:sz w:val="24"/>
          <w:u w:val="none"/>
        </w:rPr>
        <w:t xml:space="preserve"> – Vestuário; roupas de banho; trajes de banho; camisetas; leggings \[calças\]; roupa para ginástica; body \[roupa íntima\]; sapatos para ginástica; sapatos para esportes; botas para esportes; artigos de malha \[vestuário\]; calças compridas; blazers \[vestuário\]; vestidos; saias; bonés; faixas para a cabeça \[vestuário\]; rash guards \[camisa de compressão para prática esportiva\]; roupas esportivas com sensores digitais.</w:t>
      </w:r>
    </w:p>
    <w:p>
      <w:pPr>
        <w:spacing w:after="240" w:line="360" w:lineRule="auto"/>
        <w:ind w:firstLine="1701"/>
        <w:jc w:val="both"/>
      </w:pPr>
      <w:r>
        <w:rPr>
          <w:rFonts w:ascii="Sora" w:hAnsi="Sora" w:eastAsia="Sora" w:cs="Sora"/>
          <w:b w:val="0"/>
          <w:caps w:val="0"/>
          <w:color w:val="595959"/>
          <w:sz w:val="24"/>
          <w:u w:val="none"/>
        </w:rPr>
        <w:t>A Classe 25 constitui o núcleo jurídico irredutível do portfólio registral de uma marca voltada ao mercado de moda fitness. É nela que residem, de forma expressa e específica, os artigos de vestuário que compõem a atividade-fim da empresa: leggings, tops, bodies, camisetas esportivas e todo o ecossistema de peças destinadas à prática de exercícios físicos. O posicionamento "old money" da marca reforça a necessidade de proteção ampla nesta classe, uma vez que a diferenciação mercadológica reside precisamente no vestuário como veículo de identidade e estilo de vida. O registro nesta classe assegura à titular a exclusividade de exploração da marca VALORE no segmento de moda esportiva e casual premium, blindando-a contra concorrentes diretos que possam se valer da mesma denominação para capturar clientela no mesmo mercado.</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44 (muito recomendável)</w:t>
      </w:r>
      <w:r>
        <w:rPr>
          <w:rFonts w:ascii="Sora" w:hAnsi="Sora" w:eastAsia="Sora" w:cs="Sora"/>
          <w:b w:val="0"/>
          <w:caps w:val="0"/>
          <w:color w:val="595959"/>
          <w:sz w:val="24"/>
          <w:u w:val="none"/>
        </w:rPr>
        <w:t xml:space="preserve"> – Serviços de salões de beleza; serviços de cabeleireiro; massagem; serviços de saúde em spa; serviços de esteticista; serviços de estética; manicure; depilação com cera; serviços de tratamento facial; serviços de sauna; serviços de coloração de cabelos; aromaterapia; aconselhamento em dieta e nutrição.</w:t>
      </w:r>
    </w:p>
    <w:p>
      <w:pPr>
        <w:spacing w:after="240" w:line="360" w:lineRule="auto"/>
        <w:ind w:firstLine="1701"/>
        <w:jc w:val="both"/>
      </w:pPr>
      <w:r>
        <w:rPr>
          <w:rFonts w:ascii="Sora" w:hAnsi="Sora" w:eastAsia="Sora" w:cs="Sora"/>
          <w:b w:val="0"/>
          <w:caps w:val="0"/>
          <w:color w:val="595959"/>
          <w:sz w:val="24"/>
          <w:u w:val="none"/>
        </w:rPr>
        <w:t>A Classe 44 protege o segundo pilar operacional do negócio: os serviços de beleza, estética e bem-estar. A operação de um salão de beleza e SPA demanda proteção registral que cubra desde os serviços básicos de cabeleireiro e manicure até tratamentos mais sofisticados como massoterapia, aromaterapia e estética facial. A sinergia entre moda fitness e serviços de beleza é natural e estratégica — o consumidor que busca a marca VALORE no vestuário esportivo espera encontrar a mesma identidade de sofisticação nos serviços de cuidado pessoal. A proteção combinada entre as Classes 25 e 44 constitui o escudo registral mínimo para uma operação que integra moda e bem-estar sob uma mesma bandeira.</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41 (recomendável)</w:t>
      </w:r>
      <w:r>
        <w:rPr>
          <w:rFonts w:ascii="Sora" w:hAnsi="Sora" w:eastAsia="Sora" w:cs="Sora"/>
          <w:b w:val="0"/>
          <w:caps w:val="0"/>
          <w:color w:val="595959"/>
          <w:sz w:val="24"/>
          <w:u w:val="none"/>
        </w:rPr>
        <w:t xml:space="preserve"> – Educação física; aulas de ginástica; serviços de academia de ginástica \[treinamento físico e para a saúde\]; serviços de personal trainer \[preparo físico\]; serviços de instrução de aulas de atividade física; provimento de instalações desportivas; orientação \[treinamento\]; coaching \[treinamento\].</w:t>
      </w:r>
    </w:p>
    <w:p>
      <w:pPr>
        <w:spacing w:after="240" w:line="360" w:lineRule="auto"/>
        <w:ind w:firstLine="1701"/>
        <w:jc w:val="both"/>
      </w:pPr>
      <w:r>
        <w:rPr>
          <w:rFonts w:ascii="Sora" w:hAnsi="Sora" w:eastAsia="Sora" w:cs="Sora"/>
          <w:b w:val="0"/>
          <w:caps w:val="0"/>
          <w:color w:val="595959"/>
          <w:sz w:val="24"/>
          <w:u w:val="none"/>
        </w:rPr>
        <w:t>A operação de um studio de pilates enquadra-se integralmente na Classe 41, que abarca os serviços de educação física, treinamento corporal e instrução de atividades físicas. O pilates, como método de condicionamento físico que combina fortalecimento muscular, flexibilidade e consciência corporal, encontra abrigo nas especificações de "aulas de ginástica" e "serviços de instrução de aulas de atividade física". O registro preventivo nesta classe impede que terceiros utilizem a marca VALORE para operar academias, studios de yoga, crossfit ou qualquer modalidade de treinamento físico que possa se confundir com a prestação de serviços da titular.</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32 (recomendável)</w:t>
      </w:r>
      <w:r>
        <w:rPr>
          <w:rFonts w:ascii="Sora" w:hAnsi="Sora" w:eastAsia="Sora" w:cs="Sora"/>
          <w:b w:val="0"/>
          <w:caps w:val="0"/>
          <w:color w:val="595959"/>
          <w:sz w:val="24"/>
          <w:u w:val="none"/>
        </w:rPr>
        <w:t xml:space="preserve"> – Bebidas não alcoólicas; bebidas não alcoólicas com sabor de chá; preparações para fazer bebidas não alcoólicas; bebidas isotônicas; smoothies \[bebida à base de frutas e legumes\]; bebidas não alcoólicas à base de aloe vera/babosa; bebidas energéticas; bebidas para esportistas enriquecidas com proteínas; água mineral \[bebida\]; sucos de frutas, verduras e legumes \[bebidas\].</w:t>
      </w:r>
    </w:p>
    <w:p>
      <w:pPr>
        <w:spacing w:after="240" w:line="360" w:lineRule="auto"/>
        <w:ind w:firstLine="1701"/>
        <w:jc w:val="both"/>
      </w:pPr>
      <w:r>
        <w:rPr>
          <w:rFonts w:ascii="Sora" w:hAnsi="Sora" w:eastAsia="Sora" w:cs="Sora"/>
          <w:b w:val="0"/>
          <w:caps w:val="0"/>
          <w:color w:val="595959"/>
          <w:sz w:val="24"/>
          <w:u w:val="none"/>
        </w:rPr>
        <w:t>A Classe 32 protege o quarto eixo da operação: a comercialização de bebidas funcionais, com destaque para o chá verde e demais bebidas não alcoólicas voltadas ao público fitness e wellness. A tendência de marcas lifestyle expandirem sua atuação para o segmento de bebidas saudáveis é consolidada no mercado brasileiro e internacional. O registro da marca VALORE nesta classe blinda a titular contra a apropriação do sinal por fabricantes de bebidas que atuem no mesmo nicho aspiracional de saúde e bem-estar.</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35 (possui sinergia)</w:t>
      </w:r>
      <w:r>
        <w:rPr>
          <w:rFonts w:ascii="Sora" w:hAnsi="Sora" w:eastAsia="Sora" w:cs="Sora"/>
          <w:b w:val="0"/>
          <w:caps w:val="0"/>
          <w:color w:val="595959"/>
          <w:sz w:val="24"/>
          <w:u w:val="none"/>
        </w:rPr>
        <w:t xml:space="preserve"> – Marketing; promoção de vendas para terceiros; comércio, no varejo, de vestuário; serviços de agências de publicidade; publicidade on-line em rede de computadores; organização de eventos de moda para fins promocionais; apresentação de produtos em meios de comunicação para fins de comércio varejista.</w:t>
      </w:r>
    </w:p>
    <w:p>
      <w:pPr>
        <w:spacing w:after="240" w:line="360" w:lineRule="auto"/>
        <w:ind w:firstLine="1701"/>
        <w:jc w:val="both"/>
      </w:pPr>
      <w:r>
        <w:rPr>
          <w:rFonts w:ascii="Sora" w:hAnsi="Sora" w:eastAsia="Sora" w:cs="Sora"/>
          <w:b w:val="0"/>
          <w:caps w:val="0"/>
          <w:color w:val="595959"/>
          <w:sz w:val="24"/>
          <w:u w:val="none"/>
        </w:rPr>
        <w:t>A Classe 35, embora de natureza mais periférica em relação às atividades-fim, guarda sinergia com a operação de varejo de moda fitness e a eventual comercialização online dos produtos e bebidas. Marcas que operam lojas próprias — físicas ou digitais — tocam os serviços cobertos por esta classe ao realizar promoção de vendas, marketing e apresentação de produtos ao consumidor final. O registro preventivo amplia o escudo registral da marca VALORE, dificultando que terceiros utilizem o mesmo sinal em atividades de comércio varejista de vestuário ou promoção comercial no segmento de bem-estar.</w:t>
      </w:r>
    </w:p>
    <w:p>
      <w:r>
        <w:br w:type="page"/>
      </w:r>
    </w:p>
    <w:p>
      <w:pPr>
        <w:keepNext/>
        <w:spacing w:before="480" w:after="240"/>
        <w:pBdr>
          <w:bottom w:val="single" w:sz="24" w:space="4" w:color="9FEC14"/>
        </w:pBdr>
      </w:pPr>
      <w:r>
        <w:rPr>
          <w:rFonts w:ascii="Sora" w:hAnsi="Sora" w:eastAsia="Sora" w:cs="Sora"/>
          <w:b/>
          <w:caps/>
          <w:color w:val="9FEC14"/>
          <w:sz w:val="32"/>
          <w:u w:val="none"/>
        </w:rPr>
        <w:t>3. ANÁLISE DE REQUISITOS (ESPECÍFICA)</w:t>
      </w:r>
    </w:p>
    <w:p>
      <w:pPr>
        <w:spacing w:after="240" w:line="360" w:lineRule="auto"/>
        <w:ind w:firstLine="1701"/>
        <w:jc w:val="both"/>
      </w:pPr>
      <w:r>
        <w:rPr>
          <w:rFonts w:ascii="Sora" w:hAnsi="Sora" w:eastAsia="Sora" w:cs="Sora"/>
          <w:b w:val="0"/>
          <w:caps w:val="0"/>
          <w:color w:val="595959"/>
          <w:sz w:val="24"/>
          <w:u w:val="none"/>
        </w:rPr>
        <w:t xml:space="preserve">O sinal marcário VALORE consiste em vocábulo de origem italiana que traduz, literalmente, o conceito de "valor" — substantivo que permeia múltiplas camadas semânticas: valor econômico, valor pessoal, valor intrínseco de qualidade. Sob o prisma da </w:t>
      </w:r>
      <w:r>
        <w:rPr>
          <w:rFonts w:ascii="Sora" w:hAnsi="Sora" w:eastAsia="Sora" w:cs="Sora"/>
          <w:b/>
          <w:caps w:val="0"/>
          <w:color w:val="595959"/>
          <w:sz w:val="24"/>
          <w:u w:val="none"/>
        </w:rPr>
        <w:t>VERACIDADE</w:t>
      </w:r>
      <w:r>
        <w:rPr>
          <w:rFonts w:ascii="Sora" w:hAnsi="Sora" w:eastAsia="Sora" w:cs="Sora"/>
          <w:b w:val="0"/>
          <w:caps w:val="0"/>
          <w:color w:val="595959"/>
          <w:sz w:val="24"/>
          <w:u w:val="none"/>
        </w:rPr>
        <w:t xml:space="preserve">, a análise deve apurar se o termo induz o consumidor a erro quanto à natureza, procedência ou qualidade dos produtos e serviços que pretende identificar. O vocábulo VALORE, ao ser transplantado para o universo de moda fitness, beleza, bem-estar e bebidas funcionais, não afirma nem sugere que os produtos ou serviços sejam originários da Itália, tampouco que possuam certificação de qualidade específica ou atributo mensurável associado ao significado literal do termo. O consumidor brasileiro médio, ao se deparar com a marca VALORE em uma etiqueta de roupa fitness, na fachada de um salão de beleza ou em uma embalagem de chá verde, compreenderá o sinal como denominação de fantasia que evoca sofisticação e refinamento — não como promessa de valor pecuniário ou garantia de procedência europeia. A </w:t>
      </w:r>
      <w:r>
        <w:rPr>
          <w:rFonts w:ascii="Sora" w:hAnsi="Sora" w:eastAsia="Sora" w:cs="Sora"/>
          <w:b/>
          <w:caps w:val="0"/>
          <w:color w:val="595959"/>
          <w:sz w:val="24"/>
          <w:u w:val="none"/>
        </w:rPr>
        <w:t>VERACIDADE</w:t>
      </w:r>
      <w:r>
        <w:rPr>
          <w:rFonts w:ascii="Sora" w:hAnsi="Sora" w:eastAsia="Sora" w:cs="Sora"/>
          <w:b w:val="0"/>
          <w:caps w:val="0"/>
          <w:color w:val="595959"/>
          <w:sz w:val="24"/>
          <w:u w:val="none"/>
        </w:rPr>
        <w:t xml:space="preserve"> do sinal, portanto, resta preservada sem ressalvas.</w:t>
      </w:r>
    </w:p>
    <w:p>
      <w:pPr>
        <w:spacing w:after="240" w:line="360" w:lineRule="auto"/>
        <w:ind w:firstLine="1701"/>
        <w:jc w:val="both"/>
      </w:pPr>
      <w:r>
        <w:rPr>
          <w:rFonts w:ascii="Sora" w:hAnsi="Sora" w:eastAsia="Sora" w:cs="Sora"/>
          <w:b w:val="0"/>
          <w:caps w:val="0"/>
          <w:color w:val="595959"/>
          <w:sz w:val="24"/>
          <w:u w:val="none"/>
        </w:rPr>
        <w:t xml:space="preserve">No que tange à </w:t>
      </w:r>
      <w:r>
        <w:rPr>
          <w:rFonts w:ascii="Sora" w:hAnsi="Sora" w:eastAsia="Sora" w:cs="Sora"/>
          <w:b/>
          <w:caps w:val="0"/>
          <w:color w:val="595959"/>
          <w:sz w:val="24"/>
          <w:u w:val="none"/>
        </w:rPr>
        <w:t>LICEIDADE</w:t>
      </w:r>
      <w:r>
        <w:rPr>
          <w:rFonts w:ascii="Sora" w:hAnsi="Sora" w:eastAsia="Sora" w:cs="Sora"/>
          <w:b w:val="0"/>
          <w:caps w:val="0"/>
          <w:color w:val="595959"/>
          <w:sz w:val="24"/>
          <w:u w:val="none"/>
        </w:rPr>
        <w:t xml:space="preserve">, o termo VALORE não se enquadra em nenhuma das hipóteses de irregistrabilidade elencadas no artigo 124 da Lei n.º 9.279/1996. O sinal não reproduz brasões, armas, medalhas ou insígnias oficiais; não contém expressões contrárias à moral, aos bons costumes ou à ordem pública; não constitui denominação técnica necessária aos produtos ou serviços prestados; e tampouco reproduz ou imita sinal que tenha sido registrado como indicação geográfica. O vocábulo italiano, embora cognato do português "valor", não configura termo de uso comum necessário ao comércio nas classes pretendidas — ninguém descreve roupas fitness, serviços de beleza, aulas de pilates ou bebidas como "valore". O sinal supera o crivo da </w:t>
      </w:r>
      <w:r>
        <w:rPr>
          <w:rFonts w:ascii="Sora" w:hAnsi="Sora" w:eastAsia="Sora" w:cs="Sora"/>
          <w:b/>
          <w:caps w:val="0"/>
          <w:color w:val="595959"/>
          <w:sz w:val="24"/>
          <w:u w:val="none"/>
        </w:rPr>
        <w:t>LICEIDADE</w:t>
      </w:r>
      <w:r>
        <w:rPr>
          <w:rFonts w:ascii="Sora" w:hAnsi="Sora" w:eastAsia="Sora" w:cs="Sora"/>
          <w:b w:val="0"/>
          <w:caps w:val="0"/>
          <w:color w:val="595959"/>
          <w:sz w:val="24"/>
          <w:u w:val="none"/>
        </w:rPr>
        <w:t xml:space="preserve"> sem qualquer impedimento.</w:t>
      </w:r>
    </w:p>
    <w:p>
      <w:pPr>
        <w:spacing w:after="240" w:line="360" w:lineRule="auto"/>
        <w:ind w:firstLine="1701"/>
        <w:jc w:val="both"/>
      </w:pPr>
      <w:r>
        <w:rPr>
          <w:rFonts w:ascii="Sora" w:hAnsi="Sora" w:eastAsia="Sora" w:cs="Sora"/>
          <w:b w:val="0"/>
          <w:caps w:val="0"/>
          <w:color w:val="595959"/>
          <w:sz w:val="24"/>
          <w:u w:val="none"/>
        </w:rPr>
        <w:t xml:space="preserve">A análise de </w:t>
      </w:r>
      <w:r>
        <w:rPr>
          <w:rFonts w:ascii="Sora" w:hAnsi="Sora" w:eastAsia="Sora" w:cs="Sora"/>
          <w:b/>
          <w:caps w:val="0"/>
          <w:color w:val="595959"/>
          <w:sz w:val="24"/>
          <w:u w:val="none"/>
        </w:rPr>
        <w:t>DISTINTIVIDADE</w:t>
      </w:r>
      <w:r>
        <w:rPr>
          <w:rFonts w:ascii="Sora" w:hAnsi="Sora" w:eastAsia="Sora" w:cs="Sora"/>
          <w:b w:val="0"/>
          <w:caps w:val="0"/>
          <w:color w:val="595959"/>
          <w:sz w:val="24"/>
          <w:u w:val="none"/>
        </w:rPr>
        <w:t xml:space="preserve"> revela o cerne da avaliação registral. O sinal VALORE, quando aplicado ao conjunto de atividades pretendidas — moda fitness, salão de beleza, studio de pilates e bebidas funcionais — posiciona-se na fronteira entre o </w:t>
      </w:r>
      <w:r>
        <w:rPr>
          <w:rFonts w:ascii="Sora" w:hAnsi="Sora" w:eastAsia="Sora" w:cs="Sora"/>
          <w:b/>
          <w:caps w:val="0"/>
          <w:color w:val="595959"/>
          <w:sz w:val="24"/>
          <w:u w:val="none"/>
        </w:rPr>
        <w:t>EVOCATIVO</w:t>
      </w:r>
      <w:r>
        <w:rPr>
          <w:rFonts w:ascii="Sora" w:hAnsi="Sora" w:eastAsia="Sora" w:cs="Sora"/>
          <w:b w:val="0"/>
          <w:caps w:val="0"/>
          <w:color w:val="595959"/>
          <w:sz w:val="24"/>
          <w:u w:val="none"/>
        </w:rPr>
        <w:t xml:space="preserve"> e o </w:t>
      </w:r>
      <w:r>
        <w:rPr>
          <w:rFonts w:ascii="Sora" w:hAnsi="Sora" w:eastAsia="Sora" w:cs="Sora"/>
          <w:b/>
          <w:caps w:val="0"/>
          <w:color w:val="595959"/>
          <w:sz w:val="24"/>
          <w:u w:val="none"/>
        </w:rPr>
        <w:t>ARBITRÁRIO</w:t>
      </w:r>
      <w:r>
        <w:rPr>
          <w:rFonts w:ascii="Sora" w:hAnsi="Sora" w:eastAsia="Sora" w:cs="Sora"/>
          <w:b w:val="0"/>
          <w:caps w:val="0"/>
          <w:color w:val="595959"/>
          <w:sz w:val="24"/>
          <w:u w:val="none"/>
        </w:rPr>
        <w:t xml:space="preserve"> na escala valorativa do INPI. De um lado, o termo pode ser interpretado como evocação indireta de qualidade, prestígio ou valorização pessoal — conceitos que, embora tangenciem o universo aspiracional da moda e do bem-estar, não descrevem diretamente nenhum dos produtos ou serviços oferecidos. De outro, o vocábulo em italiano acrescenta uma camada de opacidade semântica que o distancia do consumidor comum: VALORE não é "valor" — é um estrangeirismo que funciona como elemento de fantasia sonora e visual. A força distintiva do sinal é classificada como </w:t>
      </w:r>
      <w:r>
        <w:rPr>
          <w:rFonts w:ascii="Sora" w:hAnsi="Sora" w:eastAsia="Sora" w:cs="Sora"/>
          <w:b/>
          <w:caps w:val="0"/>
          <w:color w:val="595959"/>
          <w:sz w:val="24"/>
          <w:u w:val="none"/>
        </w:rPr>
        <w:t>MODERADA A ALTA</w:t>
      </w:r>
      <w:r>
        <w:rPr>
          <w:rFonts w:ascii="Sora" w:hAnsi="Sora" w:eastAsia="Sora" w:cs="Sora"/>
          <w:b w:val="0"/>
          <w:caps w:val="0"/>
          <w:color w:val="595959"/>
          <w:sz w:val="24"/>
          <w:u w:val="none"/>
        </w:rPr>
        <w:t>, com potencial de registro favorável. O principal risco reside na possibilidade de o INPI considerar o sinal evocativo de qualidade genérica, o que poderia resultar em concessão com restrição de exclusividade sobre o elemento isolado — cenário que, todavia, não impede o registro e é administrável pela construção de identidade visual robusta.</w:t>
      </w:r>
    </w:p>
    <w:p>
      <w:r>
        <w:br w:type="page"/>
      </w:r>
    </w:p>
    <w:p>
      <w:pPr>
        <w:keepNext/>
        <w:spacing w:before="480" w:after="240"/>
        <w:pBdr>
          <w:bottom w:val="single" w:sz="24" w:space="4" w:color="9FEC14"/>
        </w:pBdr>
      </w:pPr>
      <w:r>
        <w:rPr>
          <w:rFonts w:ascii="Sora" w:hAnsi="Sora" w:eastAsia="Sora" w:cs="Sora"/>
          <w:b/>
          <w:caps/>
          <w:color w:val="9FEC14"/>
          <w:sz w:val="32"/>
          <w:u w:val="none"/>
        </w:rPr>
        <w:t>4. ANÁLISE DE COLIDÊNCIAS E VIABILIDADE</w:t>
      </w:r>
    </w:p>
    <w:p>
      <w:pPr>
        <w:spacing w:after="240" w:line="360" w:lineRule="auto"/>
        <w:ind w:firstLine="1701"/>
        <w:jc w:val="both"/>
      </w:pPr>
      <w:r>
        <w:rPr>
          <w:rFonts w:ascii="Sora" w:hAnsi="Sora" w:eastAsia="Sora" w:cs="Sora"/>
          <w:b w:val="0"/>
          <w:caps w:val="0"/>
          <w:color w:val="595959"/>
          <w:sz w:val="24"/>
          <w:u w:val="none"/>
        </w:rPr>
        <w:t xml:space="preserve">⚠️ </w:t>
      </w:r>
      <w:r>
        <w:rPr>
          <w:rFonts w:ascii="Sora" w:hAnsi="Sora" w:eastAsia="Sora" w:cs="Sora"/>
          <w:b/>
          <w:caps w:val="0"/>
          <w:color w:val="595959"/>
          <w:sz w:val="24"/>
          <w:u w:val="none"/>
        </w:rPr>
        <w:t>AGUARDANDO PROCESSAMENTO DOS DADOS DO INPI</w:t>
      </w:r>
      <w:r>
        <w:rPr>
          <w:rFonts w:ascii="Sora" w:hAnsi="Sora" w:eastAsia="Sora" w:cs="Sora"/>
          <w:b w:val="0"/>
          <w:caps w:val="0"/>
          <w:color w:val="595959"/>
          <w:sz w:val="24"/>
          <w:u w:val="none"/>
        </w:rPr>
      </w:r>
    </w:p>
    <w:p>
      <w:pPr>
        <w:spacing w:before="720"/>
        <w:jc w:val="right"/>
      </w:pPr>
      <w:r>
        <w:rPr>
          <w:rFonts w:ascii="Sora" w:hAnsi="Sora" w:eastAsia="Sora" w:cs="Sora"/>
          <w:b w:val="0"/>
          <w:caps w:val="0"/>
          <w:color w:val="595959"/>
          <w:sz w:val="24"/>
          <w:u w:val="none"/>
        </w:rPr>
        <w:t>É o parecer.</w:t>
        <w:br/>
        <w:t>12 de março de 2026.</w:t>
        <w:br/>
        <w:t>Equipe Genesis</w:t>
      </w:r>
    </w:p>
    <w:sectPr w:rsidR="00FC693F" w:rsidRPr="0006063C" w:rsidSect="00034616">
      <w:headerReference w:type="first" r:id="rId9"/>
      <w:headerReference w:type="default" r:id="rId10"/>
      <w:footerReference w:type="default" r:id="rId11"/>
      <w:footerReference w:type="first" r:id="rId12"/>
      <w:pgSz w:w="12240" w:h="15840"/>
      <w:pgMar w:top="2268"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535"/>
      <w:gridCol w:w="4535"/>
    </w:tblGrid>
    <w:tr>
      <w:tc>
        <w:tcPr>
          <w:tcW w:type="dxa" w:w="4535"/>
          <w:vAlign w:val="center"/>
        </w:tcPr>
        <w:p>
          <w:pPr>
            <w:jc w:val="left"/>
          </w:pPr>
        </w:p>
      </w:tc>
      <w:tc>
        <w:tcPr>
          <w:tcW w:type="dxa" w:w="4535"/>
          <w:vAlign w:val="center"/>
        </w:tcPr>
        <w:p>
          <w:pPr>
            <w:jc w:val="right"/>
          </w:pPr>
          <w:r>
            <w:rPr>
              <w:rFonts w:ascii="Sora" w:hAnsi="Sora" w:eastAsia="Sora" w:cs="Sora"/>
              <w:b w:val="0"/>
              <w:caps w:val="0"/>
              <w:color w:val="656565"/>
              <w:sz w:val="22"/>
              <w:u w:val="none"/>
            </w:rPr>
            <w:t>Para</w:t>
            <w:br/>
          </w:r>
          <w:r>
            <w:rPr>
              <w:rFonts w:ascii="Sora" w:hAnsi="Sora" w:eastAsia="Sora" w:cs="Sora"/>
              <w:b/>
              <w:caps w:val="0"/>
              <w:color w:val="595959"/>
              <w:sz w:val="32"/>
              <w:u w:val="none"/>
            </w:rPr>
            <w:t>Eduarda Veiga</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