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ora" w:hAnsi="Sora" w:eastAsia="Sora" w:cs="Sora"/>
          <w:b/>
          <w:caps/>
          <w:color w:val="9FEC14"/>
          <w:sz w:val="52"/>
          <w:u w:val="none"/>
        </w:rPr>
        <w:t>LAUDO DE VIABILIDADE</w:t>
      </w:r>
    </w:p>
    <w:p>
      <w:pPr>
        <w:keepNext/>
        <w:spacing w:before="480" w:after="240"/>
        <w:pBdr>
          <w:bottom w:val="single" w:sz="24" w:space="4" w:color="9FEC14"/>
        </w:pBdr>
      </w:pPr>
      <w:r>
        <w:rPr>
          <w:rFonts w:ascii="Sora" w:hAnsi="Sora" w:eastAsia="Sora" w:cs="Sora"/>
          <w:b/>
          <w:caps/>
          <w:color w:val="9FEC14"/>
          <w:sz w:val="32"/>
          <w:u w:val="none"/>
        </w:rPr>
        <w:t>1. INTRODUÇÃO</w:t>
      </w:r>
    </w:p>
    <w:p>
      <w:pPr>
        <w:spacing w:after="240" w:line="360" w:lineRule="auto"/>
        <w:ind w:firstLine="1701"/>
        <w:jc w:val="both"/>
      </w:pPr>
      <w:r>
        <w:rPr>
          <w:rFonts w:ascii="Sora" w:hAnsi="Sora" w:eastAsia="Sora" w:cs="Sora"/>
          <w:b w:val="0"/>
          <w:caps w:val="0"/>
          <w:color w:val="595959"/>
          <w:sz w:val="24"/>
          <w:u w:val="none"/>
        </w:rPr>
        <w:t>Este documento tem como objetivo avaliar a viabilidade de registrar a marca denominada “Vincori”, considerando o risco de rejeição. Nossa conclusão é uma avaliação baseada em opinião e não garante que o Instituto Nacional da Propriedade Intelectual (INPI) irá deferir ou negar o pedido. No entanto, garantimos que realizamos todos os esforços necessários na pesquisa de similaridade de marca.</w:t>
      </w:r>
    </w:p>
    <w:p>
      <w:pPr>
        <w:spacing w:after="240" w:line="360" w:lineRule="auto"/>
        <w:ind w:firstLine="1701"/>
        <w:jc w:val="both"/>
      </w:pPr>
      <w:r>
        <w:rPr>
          <w:rFonts w:ascii="Sora" w:hAnsi="Sora" w:eastAsia="Sora" w:cs="Sora"/>
          <w:b w:val="0"/>
          <w:caps w:val="0"/>
          <w:color w:val="595959"/>
          <w:sz w:val="24"/>
          <w:u w:val="none"/>
        </w:rPr>
        <w:t>Independentemente do resultado, a decisão de registrar a marca cabe ao cliente. Estaremos focados em apresentar o laudo da melhor forma possível.</w:t>
      </w:r>
    </w:p>
    <w:p>
      <w:pPr>
        <w:spacing w:after="240" w:line="360" w:lineRule="auto"/>
        <w:ind w:firstLine="1701"/>
        <w:jc w:val="both"/>
      </w:pPr>
      <w:r>
        <w:rPr>
          <w:rFonts w:ascii="Sora" w:hAnsi="Sora" w:eastAsia="Sora" w:cs="Sora"/>
          <w:b w:val="0"/>
          <w:caps w:val="0"/>
          <w:color w:val="595959"/>
          <w:sz w:val="24"/>
          <w:u w:val="none"/>
        </w:rPr>
        <w:t>Considerando o exposto, é possível efetuar o registro de marcas em diferentes formas, tais como nominativa (baseada no nome), mista (combinando um logo e o nome), figurativa (centrada apenas no logo) e até mesmo tridimensional (representando a configuração física de um produto específico).</w:t>
      </w:r>
    </w:p>
    <w:p>
      <w:pPr>
        <w:spacing w:after="240" w:line="360" w:lineRule="auto"/>
        <w:ind w:firstLine="1701"/>
        <w:jc w:val="both"/>
      </w:pPr>
      <w:r>
        <w:rPr>
          <w:rFonts w:ascii="Sora" w:hAnsi="Sora" w:eastAsia="Sora" w:cs="Sora"/>
          <w:b w:val="0"/>
          <w:caps w:val="0"/>
          <w:color w:val="595959"/>
          <w:sz w:val="24"/>
          <w:u w:val="none"/>
        </w:rPr>
        <w:t>Nesta circunstância, após a submissão do requerimento de registro de marca ao INPI, será divulgado na RPI – Revista da Propriedade Industrial, dando início ao prazo legal de 60 (sessenta) dias para que terceiros possam opor-se, sendo concedido ao titular o mesmo período para apresentar sua defesa.</w:t>
      </w:r>
    </w:p>
    <w:p>
      <w:pPr>
        <w:spacing w:after="240" w:line="360" w:lineRule="auto"/>
        <w:ind w:firstLine="1701"/>
        <w:jc w:val="both"/>
      </w:pPr>
      <w:r>
        <w:rPr>
          <w:rFonts w:ascii="Sora" w:hAnsi="Sora" w:eastAsia="Sora" w:cs="Sora"/>
          <w:b w:val="0"/>
          <w:caps w:val="0"/>
          <w:color w:val="595959"/>
          <w:sz w:val="24"/>
          <w:u w:val="none"/>
        </w:rPr>
        <w:t>Após esse procedimento, o INPI analisará as oposições apresentadas e realizará a avaliação substancial do pedido de registro da marca, assegurando-se de que esta atenda aos quatro requisitos estabelecidos. Estes requisitos são:</w:t>
      </w:r>
    </w:p>
    <w:p>
      <w:pPr>
        <w:spacing w:after="240" w:line="360" w:lineRule="auto"/>
        <w:ind w:firstLine="1701"/>
        <w:jc w:val="both"/>
      </w:pPr>
      <w:r>
        <w:rPr>
          <w:rFonts w:ascii="Sora" w:hAnsi="Sora" w:eastAsia="Sora" w:cs="Sora"/>
          <w:b/>
          <w:caps w:val="0"/>
          <w:color w:val="595959"/>
          <w:sz w:val="24"/>
          <w:u w:val="single"/>
        </w:rPr>
        <w:t>VERACIDADE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A marca não pode ter caráter enganoso que induza o público a erro quanto à origem, procedência, natureza, qualidade ou utilidade do produto ou serviço a que se destina. – Previsto no inciso X do art. 124 da LPI.</w:t>
      </w:r>
    </w:p>
    <w:p>
      <w:pPr>
        <w:spacing w:after="240" w:line="360" w:lineRule="auto"/>
        <w:ind w:firstLine="1701"/>
        <w:jc w:val="both"/>
      </w:pPr>
      <w:r>
        <w:rPr>
          <w:rFonts w:ascii="Sora" w:hAnsi="Sora" w:eastAsia="Sora" w:cs="Sora"/>
          <w:b/>
          <w:caps w:val="0"/>
          <w:color w:val="595959"/>
          <w:sz w:val="24"/>
          <w:u w:val="single"/>
        </w:rPr>
        <w:t>LICEIDADE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 dispõe que a marca não pode conter elementos característicos presentes em símbolos oficiais, e também não pode conter elementos que contrariam à moral e aos bons costumes. – Previsto nos incisos I, III, XI e XIV do art. 124 da LPI.</w:t>
      </w:r>
    </w:p>
    <w:p>
      <w:pPr>
        <w:spacing w:after="240" w:line="360" w:lineRule="auto"/>
        <w:ind w:firstLine="1701"/>
        <w:jc w:val="both"/>
      </w:pPr>
      <w:r>
        <w:rPr>
          <w:rFonts w:ascii="Sora" w:hAnsi="Sora" w:eastAsia="Sora" w:cs="Sora"/>
          <w:b/>
          <w:caps w:val="0"/>
          <w:color w:val="595959"/>
          <w:sz w:val="24"/>
          <w:u w:val="single"/>
        </w:rPr>
        <w:t>DISTINTIVIDADE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requisitos dispõe que é condição fundamental e função da marca enquanto signo diferenciador de produtos e serviços. – Previsto nos incisos incisos II, VI, VII, VIII, XVIII e XXI do art. 124 da LPI.</w:t>
      </w:r>
    </w:p>
    <w:p>
      <w:pPr>
        <w:spacing w:after="240" w:line="360" w:lineRule="auto"/>
        <w:ind w:firstLine="1701"/>
        <w:jc w:val="both"/>
      </w:pPr>
      <w:r>
        <w:rPr>
          <w:rFonts w:ascii="Sora" w:hAnsi="Sora" w:eastAsia="Sora" w:cs="Sora"/>
          <w:b/>
          <w:caps w:val="0"/>
          <w:color w:val="595959"/>
          <w:sz w:val="24"/>
          <w:u w:val="single"/>
        </w:rPr>
        <w:t>NOVIDADE / DISPONIBILIDADE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Os aspectos gráfico, fonético e ideológico da marca precisam ser exibido de uma forma diferente dos demais já existentes em determinado ramo ou classe. – Previsto nos arts. 124, incisos IV, V, IX, XII, XIII, XV, XVI, XVII, XIX, XX, XXII e XXIII, 125 e 126 da LPI.</w:t>
      </w:r>
    </w:p>
    <w:p>
      <w:pPr>
        <w:spacing w:after="240" w:line="360" w:lineRule="auto"/>
        <w:ind w:firstLine="1701"/>
        <w:jc w:val="both"/>
      </w:pPr>
      <w:r>
        <w:rPr>
          <w:rFonts w:ascii="Sora" w:hAnsi="Sora" w:eastAsia="Sora" w:cs="Sora"/>
          <w:b w:val="0"/>
          <w:caps w:val="0"/>
          <w:color w:val="595959"/>
          <w:sz w:val="24"/>
          <w:u w:val="none"/>
        </w:rPr>
        <w:t>Entre os requisitos mencionados, a partir da análise de vários pedidos que foram indeferidos, nota-se que o critério da novidade é frequentemente o principal motivo de indeferimento, devido à sua natureza abrangente e complexa.</w:t>
      </w:r>
    </w:p>
    <w:p>
      <w:pPr>
        <w:spacing w:after="240" w:line="360" w:lineRule="auto"/>
        <w:ind w:firstLine="1701"/>
        <w:jc w:val="both"/>
      </w:pPr>
      <w:r>
        <w:rPr>
          <w:rFonts w:ascii="Sora" w:hAnsi="Sora" w:eastAsia="Sora" w:cs="Sora"/>
          <w:b w:val="0"/>
          <w:caps w:val="0"/>
          <w:color w:val="595959"/>
          <w:sz w:val="24"/>
          <w:u w:val="none"/>
        </w:rPr>
        <w:t>Após avaliar o pedido à luz dos quatro requisitos estipulados, o INPI emitirá uma decisão, que poderá ser de indeferimento, concedendo à parte um prazo de 60 dias para apresentar recurso, ou de deferimento, ocasião em que será emitida a certidão de concessão da marca dentro do mesmo prazo após a decisão.</w:t>
      </w:r>
    </w:p>
    <w:p>
      <w:pPr>
        <w:spacing w:after="240" w:line="360" w:lineRule="auto"/>
        <w:ind w:firstLine="1701"/>
        <w:jc w:val="both"/>
      </w:pPr>
      <w:r>
        <w:rPr>
          <w:rFonts w:ascii="Sora" w:hAnsi="Sora" w:eastAsia="Sora" w:cs="Sora"/>
          <w:b w:val="0"/>
          <w:caps w:val="0"/>
          <w:color w:val="595959"/>
          <w:sz w:val="24"/>
          <w:u w:val="none"/>
        </w:rPr>
        <w:t>Com a concessão da marca, o INPI procederá com uma nova publicação na RPI – Revista da Propriedade Industrial, marcando o início do prazo de 180 dias (cento e oitenta) dias para que terceiros possam apresentar Processo Administrativo de Nulidade, buscando anular a marca. No caso de tal pedido de nulidade, o titular da marca terá o prazo de 60 dias para contestá-lo, sendo a decisão final sobre o assunto de competência do Presidente do INPI.</w:t>
      </w:r>
    </w:p>
    <w:p>
      <w:pPr>
        <w:spacing w:after="240" w:line="360" w:lineRule="auto"/>
        <w:ind w:firstLine="1701"/>
        <w:jc w:val="both"/>
      </w:pPr>
      <w:r>
        <w:rPr>
          <w:rFonts w:ascii="Sora" w:hAnsi="Sora" w:eastAsia="Sora" w:cs="Sora"/>
          <w:b w:val="0"/>
          <w:caps w:val="0"/>
          <w:color w:val="595959"/>
          <w:sz w:val="24"/>
          <w:u w:val="none"/>
        </w:rPr>
        <w:t>Para facilitar melhor a compreensão do processo de registro de marca, anexa-se o fluxograma abaixo demonstrando expressamento o processo adotado pelo INPI até concessão do registro da marca:</w:t>
      </w:r>
    </w:p>
    <w:p>
      <w:pPr>
        <w:spacing w:after="240" w:line="360" w:lineRule="auto"/>
        <w:ind w:firstLine="1701"/>
        <w:jc w:val="both"/>
      </w:pPr>
      <w:r>
        <w:rPr>
          <w:rFonts w:ascii="Sora" w:hAnsi="Sora" w:eastAsia="Sora" w:cs="Sora"/>
          <w:b w:val="0"/>
          <w:caps w:val="0"/>
          <w:color w:val="595959"/>
          <w:sz w:val="24"/>
          <w:u w:val="none"/>
        </w:rPr>
        <w:t>Diante do exposto introdutório sobre o procedimento adotado pelo INPI para registro de marca, prosseguimos agora com uma análise voltada ao segmento de mercado do cliente. Nessa análise, buscamos identificar as classes mais adequadas para registro, visando ampliar a proteção da marca em todo o seu ramo.</w:t>
      </w:r>
    </w:p>
    <w:p>
      <w:r>
        <w:br w:type="page"/>
      </w:r>
    </w:p>
    <w:p>
      <w:pPr>
        <w:keepNext/>
        <w:spacing w:before="480" w:after="240"/>
        <w:pBdr>
          <w:bottom w:val="single" w:sz="24" w:space="4" w:color="9FEC14"/>
        </w:pBdr>
      </w:pPr>
      <w:r>
        <w:rPr>
          <w:rFonts w:ascii="Sora" w:hAnsi="Sora" w:eastAsia="Sora" w:cs="Sora"/>
          <w:b/>
          <w:caps/>
          <w:color w:val="9FEC14"/>
          <w:sz w:val="32"/>
          <w:u w:val="none"/>
        </w:rPr>
        <w:t>2. CLASSES RECOMENDADAS</w:t>
      </w:r>
    </w:p>
    <w:p>
      <w:pPr>
        <w:spacing w:after="240" w:line="360" w:lineRule="auto"/>
        <w:ind w:firstLine="1701"/>
        <w:jc w:val="both"/>
      </w:pPr>
      <w:r>
        <w:rPr>
          <w:rFonts w:ascii="Sora" w:hAnsi="Sora" w:eastAsia="Sora" w:cs="Sora"/>
          <w:b w:val="0"/>
          <w:caps w:val="0"/>
          <w:color w:val="595959"/>
          <w:sz w:val="24"/>
          <w:u w:val="none"/>
        </w:rPr>
        <w:t>Nesta seção, iremos expor nossas sugestões sobre quais classes independentes são aconselháveis para registro conforme o seguimento da empresa. Sabe-se que a empresa tem como atividade o desenvolvimento de roupas fitness no estilo old money, operação de salão de beleza e SPA, studio de pilates e comercialização de bebidas funcionais (chá verde).</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25 (muito recomendável)</w:t>
      </w:r>
      <w:r>
        <w:rPr>
          <w:rFonts w:ascii="Sora" w:hAnsi="Sora" w:eastAsia="Sora" w:cs="Sora"/>
          <w:b w:val="0"/>
          <w:caps w:val="0"/>
          <w:color w:val="595959"/>
          <w:sz w:val="24"/>
          <w:u w:val="none"/>
        </w:rPr>
        <w:t xml:space="preserve"> – Vestuário; roupas de banho; trajes de banho; camisetas; leggings [calças]; roupa para ginástica; body [roupa íntima]; sapatos para ginástica; sapatos para esportes; botas para esportes; artigos de malha [vestuário]; calças compridas; blazers [vestuário]; vestidos; saias; bonés; faixas para a cabeça [vestuário]; rash guards [camisa de compressão para prática esportiva]; roupas esportivas com sensores digitais.</w:t>
      </w:r>
    </w:p>
    <w:p>
      <w:pPr>
        <w:spacing w:after="240" w:line="360" w:lineRule="auto"/>
        <w:ind w:firstLine="1701"/>
        <w:jc w:val="both"/>
      </w:pPr>
      <w:r>
        <w:rPr>
          <w:rFonts w:ascii="Sora" w:hAnsi="Sora" w:eastAsia="Sora" w:cs="Sora"/>
          <w:b w:val="0"/>
          <w:caps w:val="0"/>
          <w:color w:val="595959"/>
          <w:sz w:val="24"/>
          <w:u w:val="none"/>
        </w:rPr>
        <w:t>A Classe 25 constitui o núcleo jurídico irredutível para moda fitness. A sonoridade italiana de VINCORI — evocando energia, conquista e sofisticação — presta-se com excelência ao posicionamento "old money" pretendido: uma marca que comunica vitória sem ostentação, força sem agressividade. O registro assegura exclusividade robusta no segmento de vestuário esportivo e casual premium.</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44 (muito recomendável)</w:t>
      </w:r>
      <w:r>
        <w:rPr>
          <w:rFonts w:ascii="Sora" w:hAnsi="Sora" w:eastAsia="Sora" w:cs="Sora"/>
          <w:b w:val="0"/>
          <w:caps w:val="0"/>
          <w:color w:val="595959"/>
          <w:sz w:val="24"/>
          <w:u w:val="none"/>
        </w:rPr>
        <w:t xml:space="preserve"> – Serviços de salões de beleza; serviços de cabeleireiro; massagem; serviços de saúde em spa; serviços de esteticista; serviços de estética; manicure; depilação com cera; serviços de tratamento facial; serviços de sauna; serviços de coloração de cabelos; aromaterapia; aconselhamento em dieta e nutrição.</w:t>
      </w:r>
    </w:p>
    <w:p>
      <w:pPr>
        <w:spacing w:after="240" w:line="360" w:lineRule="auto"/>
        <w:ind w:firstLine="1701"/>
        <w:jc w:val="both"/>
      </w:pPr>
      <w:r>
        <w:rPr>
          <w:rFonts w:ascii="Sora" w:hAnsi="Sora" w:eastAsia="Sora" w:cs="Sora"/>
          <w:b w:val="0"/>
          <w:caps w:val="0"/>
          <w:color w:val="595959"/>
          <w:sz w:val="24"/>
          <w:u w:val="none"/>
        </w:rPr>
        <w:t>A Classe 44 protege os serviços de beleza e bem-estar. A musicalidade mediterrânea de VINCORI confere identidade sonora diferenciada no segmento de salões e SPAs, onde marcas com ressonância europeia — especialmente italiana — carregam percepção de sofisticação e excelência técnica. A proteção combinada entre as Classes 25 e 44 constitui o escudo registral mínimo para o modelo integrado.</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41 (recomendável)</w:t>
      </w:r>
      <w:r>
        <w:rPr>
          <w:rFonts w:ascii="Sora" w:hAnsi="Sora" w:eastAsia="Sora" w:cs="Sora"/>
          <w:b w:val="0"/>
          <w:caps w:val="0"/>
          <w:color w:val="595959"/>
          <w:sz w:val="24"/>
          <w:u w:val="none"/>
        </w:rPr>
        <w:t xml:space="preserve"> – Educação física; aulas de ginástica; serviços de academia de ginástica [treinamento físico e para a saúde]; serviços de personal trainer [preparo físico]; serviços de instrução de aulas de atividade física; provimento de instalações desportivas; orientação [treinamento]; coaching [treinamento].</w:t>
      </w:r>
    </w:p>
    <w:p>
      <w:pPr>
        <w:spacing w:after="240" w:line="360" w:lineRule="auto"/>
        <w:ind w:firstLine="1701"/>
        <w:jc w:val="both"/>
      </w:pPr>
      <w:r>
        <w:rPr>
          <w:rFonts w:ascii="Sora" w:hAnsi="Sora" w:eastAsia="Sora" w:cs="Sora"/>
          <w:b w:val="0"/>
          <w:caps w:val="0"/>
          <w:color w:val="595959"/>
          <w:sz w:val="24"/>
          <w:u w:val="none"/>
        </w:rPr>
        <w:t>O studio de pilates enquadra-se na Classe 41. O caráter fantasioso de VINCORI garante proteção diferenciada, e a evocação subliminar de "conquista" harmoniza-se com o universo do treinamento físico — onde a superação é valor central — sem configurar descrição do serviço.</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32 (recomendável)</w:t>
      </w:r>
      <w:r>
        <w:rPr>
          <w:rFonts w:ascii="Sora" w:hAnsi="Sora" w:eastAsia="Sora" w:cs="Sora"/>
          <w:b w:val="0"/>
          <w:caps w:val="0"/>
          <w:color w:val="595959"/>
          <w:sz w:val="24"/>
          <w:u w:val="none"/>
        </w:rPr>
        <w:t xml:space="preserve"> – Bebidas não alcoólicas; bebidas não alcoólicas com sabor de chá; preparações para fazer bebidas não alcoólicas; bebidas isotônicas; smoothies [bebida à base de frutas e legumes]; bebidas não alcoólicas à base de aloe vera/babosa; bebidas energéticas; bebidas para esportistas enriquecidas com proteínas; água mineral [bebida]; sucos de frutas, verduras e legumes [bebidas].</w:t>
      </w:r>
    </w:p>
    <w:p>
      <w:pPr>
        <w:spacing w:after="240" w:line="360" w:lineRule="auto"/>
        <w:ind w:firstLine="1701"/>
        <w:jc w:val="both"/>
      </w:pPr>
      <w:r>
        <w:rPr>
          <w:rFonts w:ascii="Sora" w:hAnsi="Sora" w:eastAsia="Sora" w:cs="Sora"/>
          <w:b w:val="0"/>
          <w:caps w:val="0"/>
          <w:color w:val="595959"/>
          <w:sz w:val="24"/>
          <w:u w:val="none"/>
        </w:rPr>
        <w:t>A Classe 32 protege a comercialização de bebidas funcionais. VINCORI como marca de chá verde ou isotônico projeta imagem de energia e vitalidade, sem descrever o produto — posicionamento ideal para o nicho de bebidas premium voltadas ao público fitness.</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35 (possui sinergia)</w:t>
      </w:r>
      <w:r>
        <w:rPr>
          <w:rFonts w:ascii="Sora" w:hAnsi="Sora" w:eastAsia="Sora" w:cs="Sora"/>
          <w:b w:val="0"/>
          <w:caps w:val="0"/>
          <w:color w:val="595959"/>
          <w:sz w:val="24"/>
          <w:u w:val="none"/>
        </w:rPr>
        <w:t xml:space="preserve"> – Marketing; promoção de vendas para terceiros; comércio, no varejo, de vestuário; publicidade on-line em rede de computadores; organização de eventos de moda para fins promocionais; apresentação de produtos em meios de comunicação para fins de comércio varejista.</w:t>
      </w:r>
    </w:p>
    <w:p>
      <w:pPr>
        <w:spacing w:after="240" w:line="360" w:lineRule="auto"/>
        <w:ind w:firstLine="1701"/>
        <w:jc w:val="both"/>
      </w:pPr>
      <w:r>
        <w:rPr>
          <w:rFonts w:ascii="Sora" w:hAnsi="Sora" w:eastAsia="Sora" w:cs="Sora"/>
          <w:b w:val="0"/>
          <w:caps w:val="0"/>
          <w:color w:val="595959"/>
          <w:sz w:val="24"/>
          <w:u w:val="none"/>
        </w:rPr>
        <w:t>A Classe 35 guarda sinergia com a operação de varejo e e-commerce. O registro preventivo completa o perímetro de proteção, cobrindo a comercialização direta ao consumidor.</w:t>
      </w:r>
    </w:p>
    <w:p>
      <w:r>
        <w:br w:type="page"/>
      </w:r>
    </w:p>
    <w:p>
      <w:pPr>
        <w:keepNext/>
        <w:spacing w:before="480" w:after="240"/>
        <w:pBdr>
          <w:bottom w:val="single" w:sz="24" w:space="4" w:color="9FEC14"/>
        </w:pBdr>
      </w:pPr>
      <w:r>
        <w:rPr>
          <w:rFonts w:ascii="Sora" w:hAnsi="Sora" w:eastAsia="Sora" w:cs="Sora"/>
          <w:b/>
          <w:caps/>
          <w:color w:val="9FEC14"/>
          <w:sz w:val="32"/>
          <w:u w:val="none"/>
        </w:rPr>
        <w:t>3. ANÁLISE DE REQUISITOS (ESPECÍFICA)</w:t>
      </w:r>
    </w:p>
    <w:p>
      <w:pPr>
        <w:spacing w:after="240" w:line="360" w:lineRule="auto"/>
        <w:ind w:firstLine="1701"/>
        <w:jc w:val="both"/>
      </w:pPr>
      <w:r>
        <w:rPr>
          <w:rFonts w:ascii="Sora" w:hAnsi="Sora" w:eastAsia="Sora" w:cs="Sora"/>
          <w:b w:val="0"/>
          <w:caps w:val="0"/>
          <w:color w:val="595959"/>
          <w:sz w:val="24"/>
          <w:u w:val="none"/>
        </w:rPr>
        <w:t xml:space="preserve">O sinal marcário VINCORI apresenta-se como neologismo de raiz latina, construído sobre o radical "Vinc-" — derivado do verbo latino "vincere" (vencer, superar, conquistar) — acrescido do sufixo "-ori", que confere ao vocábulo uma terminação de sonoridade italiana, remetente às formas verbais e nominais da língua: "vincitori" (vencedores), "amori", "fiori". O resultado é um termo que não existe em nenhum idioma corrente, mas que carrega uma musicalidade mediterrânea inconfundível — sofisticada, fluida e memorável. Sob o prisma da </w:t>
      </w:r>
      <w:r>
        <w:rPr>
          <w:rFonts w:ascii="Sora" w:hAnsi="Sora" w:eastAsia="Sora" w:cs="Sora"/>
          <w:b/>
          <w:caps w:val="0"/>
          <w:color w:val="595959"/>
          <w:sz w:val="24"/>
          <w:u w:val="none"/>
        </w:rPr>
        <w:t>VERACIDADE</w:t>
      </w:r>
      <w:r>
        <w:rPr>
          <w:rFonts w:ascii="Sora" w:hAnsi="Sora" w:eastAsia="Sora" w:cs="Sora"/>
          <w:b w:val="0"/>
          <w:caps w:val="0"/>
          <w:color w:val="595959"/>
          <w:sz w:val="24"/>
          <w:u w:val="none"/>
        </w:rPr>
        <w:t xml:space="preserve">, o sinal não oferece risco de indução a erro: VINCORI não afirma nem sugere que os produtos ou serviços são originários da Itália, tampouco que possuem atributo de "vitória" ou "conquista" em sentido literal ou mensurável. O consumidor brasileiro, ao se deparar com a marca VINCORI em roupas fitness, na entrada de um SPA ou em embalagem de chá verde, processará o sinal como denominação de fantasia com sonoridade premium — sem extrair dele qualquer promessa factual sobre procedência ou qualidade certificada. A </w:t>
      </w:r>
      <w:r>
        <w:rPr>
          <w:rFonts w:ascii="Sora" w:hAnsi="Sora" w:eastAsia="Sora" w:cs="Sora"/>
          <w:b/>
          <w:caps w:val="0"/>
          <w:color w:val="595959"/>
          <w:sz w:val="24"/>
          <w:u w:val="none"/>
        </w:rPr>
        <w:t>VERACIDADE</w:t>
      </w:r>
      <w:r>
        <w:rPr>
          <w:rFonts w:ascii="Sora" w:hAnsi="Sora" w:eastAsia="Sora" w:cs="Sora"/>
          <w:b w:val="0"/>
          <w:caps w:val="0"/>
          <w:color w:val="595959"/>
          <w:sz w:val="24"/>
          <w:u w:val="none"/>
        </w:rPr>
        <w:t xml:space="preserve"> resta preservada sem ressalvas.</w:t>
      </w:r>
    </w:p>
    <w:p>
      <w:pPr>
        <w:spacing w:after="240" w:line="360" w:lineRule="auto"/>
        <w:ind w:firstLine="1701"/>
        <w:jc w:val="both"/>
      </w:pPr>
      <w:r>
        <w:rPr>
          <w:rFonts w:ascii="Sora" w:hAnsi="Sora" w:eastAsia="Sora" w:cs="Sora"/>
          <w:b w:val="0"/>
          <w:caps w:val="0"/>
          <w:color w:val="595959"/>
          <w:sz w:val="24"/>
          <w:u w:val="none"/>
        </w:rPr>
        <w:t xml:space="preserve">No campo da </w:t>
      </w:r>
      <w:r>
        <w:rPr>
          <w:rFonts w:ascii="Sora" w:hAnsi="Sora" w:eastAsia="Sora" w:cs="Sora"/>
          <w:b/>
          <w:caps w:val="0"/>
          <w:color w:val="595959"/>
          <w:sz w:val="24"/>
          <w:u w:val="none"/>
        </w:rPr>
        <w:t>LICEIDADE</w:t>
      </w:r>
      <w:r>
        <w:rPr>
          <w:rFonts w:ascii="Sora" w:hAnsi="Sora" w:eastAsia="Sora" w:cs="Sora"/>
          <w:b w:val="0"/>
          <w:caps w:val="0"/>
          <w:color w:val="595959"/>
          <w:sz w:val="24"/>
          <w:u w:val="none"/>
        </w:rPr>
        <w:t xml:space="preserve">, o termo VINCORI não incide em nenhuma das hipóteses de irregistrabilidade do artigo 124 da Lei n.º 9.279/1996. Como neologismo, não reproduz brasões ou insígnias oficiais, não contém expressão contrária à moral ou ordem pública, não constitui denominação técnica necessária aos produtos ou serviços, não configura indicação geográfica e não reproduz nome civil de terceiro. A inexistência do vocábulo nos dicionários de qualquer língua afasta por completo o risco de conflito com termos de uso comum, descritivos ou necessários ao comércio. O sinal supera o crivo da </w:t>
      </w:r>
      <w:r>
        <w:rPr>
          <w:rFonts w:ascii="Sora" w:hAnsi="Sora" w:eastAsia="Sora" w:cs="Sora"/>
          <w:b/>
          <w:caps w:val="0"/>
          <w:color w:val="595959"/>
          <w:sz w:val="24"/>
          <w:u w:val="none"/>
        </w:rPr>
        <w:t>LICEIDADE</w:t>
      </w:r>
      <w:r>
        <w:rPr>
          <w:rFonts w:ascii="Sora" w:hAnsi="Sora" w:eastAsia="Sora" w:cs="Sora"/>
          <w:b w:val="0"/>
          <w:caps w:val="0"/>
          <w:color w:val="595959"/>
          <w:sz w:val="24"/>
          <w:u w:val="none"/>
        </w:rPr>
        <w:t xml:space="preserve"> com margem confortável.</w:t>
      </w:r>
    </w:p>
    <w:p>
      <w:pPr>
        <w:spacing w:after="240" w:line="360" w:lineRule="auto"/>
        <w:ind w:firstLine="1701"/>
        <w:jc w:val="both"/>
      </w:pPr>
      <w:r>
        <w:rPr>
          <w:rFonts w:ascii="Sora" w:hAnsi="Sora" w:eastAsia="Sora" w:cs="Sora"/>
          <w:b w:val="0"/>
          <w:caps w:val="0"/>
          <w:color w:val="595959"/>
          <w:sz w:val="24"/>
          <w:u w:val="none"/>
        </w:rPr>
        <w:t xml:space="preserve">A análise de </w:t>
      </w:r>
      <w:r>
        <w:rPr>
          <w:rFonts w:ascii="Sora" w:hAnsi="Sora" w:eastAsia="Sora" w:cs="Sora"/>
          <w:b/>
          <w:caps w:val="0"/>
          <w:color w:val="595959"/>
          <w:sz w:val="24"/>
          <w:u w:val="none"/>
        </w:rPr>
        <w:t>DISTINTIVIDADE</w:t>
      </w:r>
      <w:r>
        <w:rPr>
          <w:rFonts w:ascii="Sora" w:hAnsi="Sora" w:eastAsia="Sora" w:cs="Sora"/>
          <w:b w:val="0"/>
          <w:caps w:val="0"/>
          <w:color w:val="595959"/>
          <w:sz w:val="24"/>
          <w:u w:val="none"/>
        </w:rPr>
        <w:t xml:space="preserve"> posiciona VINCORI na categoria dos sinais </w:t>
      </w:r>
      <w:r>
        <w:rPr>
          <w:rFonts w:ascii="Sora" w:hAnsi="Sora" w:eastAsia="Sora" w:cs="Sora"/>
          <w:b/>
          <w:caps w:val="0"/>
          <w:color w:val="595959"/>
          <w:sz w:val="24"/>
          <w:u w:val="none"/>
        </w:rPr>
        <w:t>FANTASIOSOS</w:t>
      </w:r>
      <w:r>
        <w:rPr>
          <w:rFonts w:ascii="Sora" w:hAnsi="Sora" w:eastAsia="Sora" w:cs="Sora"/>
          <w:b w:val="0"/>
          <w:caps w:val="0"/>
          <w:color w:val="595959"/>
          <w:sz w:val="24"/>
          <w:u w:val="none"/>
        </w:rPr>
        <w:t xml:space="preserve"> — o grau máximo de proteção registral na escala valorativa do INPI. O vocábulo foi integralmente criado, sem correspondência em dicionários de qualquer idioma; não descreve, evoca nem sugere atributo direto de roupas, serviços de beleza, pilates ou bebidas; e sua construção fonética, embora remetendo a sonoridades italianas, não comunica nada de concreto sobre a natureza dos produtos ou serviços. A evocação subliminar de "vitória" e "conquista" — intencional do ponto de vista de branding — opera no plano puramente subjetivo e aspiracional, jamais descritivo. A força distintiva do sinal é classificada como </w:t>
      </w:r>
      <w:r>
        <w:rPr>
          <w:rFonts w:ascii="Sora" w:hAnsi="Sora" w:eastAsia="Sora" w:cs="Sora"/>
          <w:b/>
          <w:caps w:val="0"/>
          <w:color w:val="595959"/>
          <w:sz w:val="24"/>
          <w:u w:val="none"/>
        </w:rPr>
        <w:t>MÁXIMA</w:t>
      </w:r>
      <w:r>
        <w:rPr>
          <w:rFonts w:ascii="Sora" w:hAnsi="Sora" w:eastAsia="Sora" w:cs="Sora"/>
          <w:b w:val="0"/>
          <w:caps w:val="0"/>
          <w:color w:val="595959"/>
          <w:sz w:val="24"/>
          <w:u w:val="none"/>
        </w:rPr>
        <w:t>. Dois elementos reforçam essa avaliação: primeiro, a combinação de três sílabas com alternância vocálica (i-o-i) cria uma identidade sonora singular, difícil de ser confundida com marcas existentes; segundo, a grafia com sete letras resulta em composição visual equilibrada, igualmente adequada para logotipos, etiquetas de vestuário, fachadas de salão e embalagens de bebidas. O INPI não encontrará fundamento para restringir a concessão por baixa distintividade.</w:t>
      </w:r>
    </w:p>
    <w:p>
      <w:r>
        <w:br w:type="page"/>
      </w:r>
    </w:p>
    <w:p>
      <w:pPr>
        <w:keepNext/>
        <w:spacing w:before="480" w:after="240"/>
        <w:pBdr>
          <w:bottom w:val="single" w:sz="24" w:space="4" w:color="9FEC14"/>
        </w:pBdr>
      </w:pPr>
      <w:r>
        <w:rPr>
          <w:rFonts w:ascii="Sora" w:hAnsi="Sora" w:eastAsia="Sora" w:cs="Sora"/>
          <w:b/>
          <w:caps/>
          <w:color w:val="9FEC14"/>
          <w:sz w:val="32"/>
          <w:u w:val="none"/>
        </w:rPr>
        <w:t>4. ANÁLISE DE COLIDÊNCIAS E VIABILIDADE</w:t>
      </w:r>
    </w:p>
    <w:p>
      <w:pPr>
        <w:spacing w:after="240" w:line="360" w:lineRule="auto"/>
        <w:ind w:firstLine="1701"/>
        <w:jc w:val="both"/>
      </w:pPr>
      <w:r>
        <w:rPr>
          <w:rFonts w:ascii="Sora" w:hAnsi="Sora" w:eastAsia="Sora" w:cs="Sora"/>
          <w:b w:val="0"/>
          <w:caps w:val="0"/>
          <w:color w:val="595959"/>
          <w:sz w:val="24"/>
          <w:u w:val="none"/>
        </w:rPr>
        <w:t>A varredura da base de dados do INPI nas Classes 25, 35 e 44, tendo como vetor de busca o sinal nominativo VINCORI e suas variações fonéticas aproximadas, revelou um campo marcário de densidade moderada, com seis anterioridades identificadas que compartilham o radical latino "VINC-" ou apresentam proximidade sonora com o sinal pretendido. Nenhuma das anterioridades reproduz a marca VINCORI de forma idêntica — todas as colidências são de natureza aproximativa, o que desloca a análise para o terreno da semelhança fonética, gráfica e ideológica, exigindo exame individualizado de cada processo à luz da Tese da Especialidade e do princípio da confusão efetiva no mercado relevante.</w:t>
      </w:r>
    </w:p>
    <w:p>
      <w:pPr>
        <w:spacing w:after="240" w:line="360" w:lineRule="auto"/>
        <w:ind w:firstLine="1701"/>
        <w:jc w:val="both"/>
      </w:pPr>
      <w:r>
        <w:rPr>
          <w:rFonts w:ascii="Sora" w:hAnsi="Sora" w:eastAsia="Sora" w:cs="Sora"/>
          <w:b w:val="0"/>
          <w:caps w:val="0"/>
          <w:color w:val="595959"/>
          <w:sz w:val="24"/>
          <w:u w:val="none"/>
        </w:rPr>
        <w:t xml:space="preserve">O registro que demanda análise mais detida é o processo </w:t>
      </w:r>
      <w:r>
        <w:rPr>
          <w:rFonts w:ascii="Sora" w:hAnsi="Sora" w:eastAsia="Sora" w:cs="Sora"/>
          <w:b/>
          <w:caps w:val="0"/>
          <w:color w:val="595959"/>
          <w:sz w:val="24"/>
          <w:u w:val="none"/>
        </w:rPr>
        <w:t>917516141</w:t>
      </w:r>
      <w:r>
        <w:rPr>
          <w:rFonts w:ascii="Sora" w:hAnsi="Sora" w:eastAsia="Sora" w:cs="Sora"/>
          <w:b w:val="0"/>
          <w:caps w:val="0"/>
          <w:color w:val="595959"/>
          <w:sz w:val="24"/>
          <w:u w:val="none"/>
        </w:rPr>
        <w:t xml:space="preserve">, de titularidade de </w:t>
      </w:r>
      <w:r>
        <w:rPr>
          <w:rFonts w:ascii="Sora" w:hAnsi="Sora" w:eastAsia="Sora" w:cs="Sora"/>
          <w:b/>
          <w:caps w:val="0"/>
          <w:color w:val="595959"/>
          <w:sz w:val="24"/>
          <w:u w:val="none"/>
        </w:rPr>
        <w:t>VINCITORE COMÉRCIO DO VESTUÁRIO EIRELI</w:t>
      </w:r>
      <w:r>
        <w:rPr>
          <w:rFonts w:ascii="Sora" w:hAnsi="Sora" w:eastAsia="Sora" w:cs="Sora"/>
          <w:b w:val="0"/>
          <w:caps w:val="0"/>
          <w:color w:val="595959"/>
          <w:sz w:val="24"/>
          <w:u w:val="none"/>
        </w:rPr>
        <w:t xml:space="preserve">, depositado em 13 de junho de 2019 e concedido em 24 de março de 2020, com vigência até 24 de março de 2030. Trata-se de marca nominativa registrada na Classe 25 da NCL(11), com especificação abrangente que cobre artigos de malha, bermudas, blazers, bonés, calçados, camisas, camisetas, casacos, leggings, meias, paletós, ternos, vestuário em geral e calças compridas — portanto, com sobreposição significativa de especificações em relação ao portfólio pretendido por VINCORI na mesma classe. A questão central reside na comparação fonética entre VINCORI (três sílabas: VIN-CO-RI) e VINCITORE (quatro sílabas: VIN-CI-TO-RE). Embora ambas compartilhem o radical "VINC-" e evoquem sonoridade italiana, as diferenças são estruturais: a segunda e terceira sílabas divergem completamente ("CO-RI" versus "CI-TO-RE"), o número de sílabas é distinto, a tonicidade recai sobre sílabas diferentes e a impressão fonética global — que o INPI pondera com particular atenção nos exames de mérito — produz experiências auditivas distinguíveis. O consumidor que pronuncia VINCORI não confundirá o sinal com VINCITORE, pois a economia silábica do primeiro (três sílabas contra quatro) e a terminação "-ori" (distinta de "-ore") criam identidades sonoras separadas. Não obstante, a sobreposição do radical "VINC-" e a atuação no mesmo segmento de vestuário configuram risco que não pode ser descartado — o examinador do INPI poderá, em juízo conservador, considerar que a semelhança fonética parcial, combinada com a identidade de classe e especificações, gera risco de associação indevida. O risco decorrente deste processo é classificado como </w:t>
      </w:r>
      <w:r>
        <w:rPr>
          <w:rFonts w:ascii="Sora" w:hAnsi="Sora" w:eastAsia="Sora" w:cs="Sora"/>
          <w:b/>
          <w:caps w:val="0"/>
          <w:color w:val="595959"/>
          <w:sz w:val="24"/>
          <w:u w:val="none"/>
        </w:rPr>
        <w:t>MODERADO</w:t>
      </w:r>
      <w:r>
        <w:rPr>
          <w:rFonts w:ascii="Sora" w:hAnsi="Sora" w:eastAsia="Sora" w:cs="Sora"/>
          <w:b w:val="0"/>
          <w:caps w:val="0"/>
          <w:color w:val="595959"/>
          <w:sz w:val="24"/>
          <w:u w:val="none"/>
        </w:rPr>
        <w:t>, exigindo estratégia de diferenciação visual e argumentação técnica no eventual exame de mérito.</w:t>
      </w:r>
    </w:p>
    <w:p>
      <w:pPr>
        <w:spacing w:after="240" w:line="360" w:lineRule="auto"/>
        <w:ind w:firstLine="1701"/>
        <w:jc w:val="both"/>
      </w:pPr>
      <w:r>
        <w:rPr>
          <w:rFonts w:ascii="Sora" w:hAnsi="Sora" w:eastAsia="Sora" w:cs="Sora"/>
          <w:b w:val="0"/>
          <w:caps w:val="0"/>
          <w:color w:val="595959"/>
          <w:sz w:val="24"/>
          <w:u w:val="none"/>
        </w:rPr>
        <w:t xml:space="preserve">O processo </w:t>
      </w:r>
      <w:r>
        <w:rPr>
          <w:rFonts w:ascii="Sora" w:hAnsi="Sora" w:eastAsia="Sora" w:cs="Sora"/>
          <w:b/>
          <w:caps w:val="0"/>
          <w:color w:val="595959"/>
          <w:sz w:val="24"/>
          <w:u w:val="none"/>
        </w:rPr>
        <w:t>902503715</w:t>
      </w:r>
      <w:r>
        <w:rPr>
          <w:rFonts w:ascii="Sora" w:hAnsi="Sora" w:eastAsia="Sora" w:cs="Sora"/>
          <w:b w:val="0"/>
          <w:caps w:val="0"/>
          <w:color w:val="595959"/>
          <w:sz w:val="24"/>
          <w:u w:val="none"/>
        </w:rPr>
        <w:t xml:space="preserve">, igualmente sob a denominação </w:t>
      </w:r>
      <w:r>
        <w:rPr>
          <w:rFonts w:ascii="Sora" w:hAnsi="Sora" w:eastAsia="Sora" w:cs="Sora"/>
          <w:b/>
          <w:caps w:val="0"/>
          <w:color w:val="595959"/>
          <w:sz w:val="24"/>
          <w:u w:val="none"/>
        </w:rPr>
        <w:t>VINCITORE</w:t>
      </w:r>
      <w:r>
        <w:rPr>
          <w:rFonts w:ascii="Sora" w:hAnsi="Sora" w:eastAsia="Sora" w:cs="Sora"/>
          <w:b w:val="0"/>
          <w:caps w:val="0"/>
          <w:color w:val="595959"/>
          <w:sz w:val="24"/>
          <w:u w:val="none"/>
        </w:rPr>
        <w:t xml:space="preserve">, de titularidade de </w:t>
      </w:r>
      <w:r>
        <w:rPr>
          <w:rFonts w:ascii="Sora" w:hAnsi="Sora" w:eastAsia="Sora" w:cs="Sora"/>
          <w:b/>
          <w:caps w:val="0"/>
          <w:color w:val="595959"/>
          <w:sz w:val="24"/>
          <w:u w:val="none"/>
        </w:rPr>
        <w:t>VINCITORE COMÉRCIO DE MÁQUINAS E PRODUTOS ALIMENTÍCIOS LTDA</w:t>
      </w:r>
      <w:r>
        <w:rPr>
          <w:rFonts w:ascii="Sora" w:hAnsi="Sora" w:eastAsia="Sora" w:cs="Sora"/>
          <w:b w:val="0"/>
          <w:caps w:val="0"/>
          <w:color w:val="595959"/>
          <w:sz w:val="24"/>
          <w:u w:val="none"/>
        </w:rPr>
        <w:t xml:space="preserve">, encontra-se registrado na Classe 35 da NCL(9) desde 26 de março de 2013, com vigência prorrogada até 26 de março de 2033. A especificação cobre exclusivamente o comércio de instrumentos manuais, máquinas distribuidoras automáticas, utensílios de cozinha, equipamentos de escritório, produtos alimentícios e máquinas em geral — segmento radicalmente distinto dos serviços de moda fitness, beleza e bem-estar pretendidos pela titular de VINCORI. A distância mercadológica entre comércio de máquinas industriais e alimentícias, de um lado, e moda fitness premium com salão de beleza, de outro, é absoluta: não há sobreposição de público-alvo, canais de distribuição, contexto de consumo ou afinidade mercadológica. Aplicando-se a Tese da Especialidade com rigor, o risco de confusão ou associação na mente do consumidor é classificado como </w:t>
      </w:r>
      <w:r>
        <w:rPr>
          <w:rFonts w:ascii="Sora" w:hAnsi="Sora" w:eastAsia="Sora" w:cs="Sora"/>
          <w:b/>
          <w:caps w:val="0"/>
          <w:color w:val="595959"/>
          <w:sz w:val="24"/>
          <w:u w:val="none"/>
        </w:rPr>
        <w:t>BAIXO</w:t>
      </w:r>
      <w:r>
        <w:rPr>
          <w:rFonts w:ascii="Sora" w:hAnsi="Sora" w:eastAsia="Sora" w:cs="Sora"/>
          <w:b w:val="0"/>
          <w:caps w:val="0"/>
          <w:color w:val="595959"/>
          <w:sz w:val="24"/>
          <w:u w:val="none"/>
        </w:rPr>
        <w:t>.</w:t>
      </w:r>
    </w:p>
    <w:p>
      <w:pPr>
        <w:spacing w:after="240" w:line="360" w:lineRule="auto"/>
        <w:ind w:firstLine="1701"/>
        <w:jc w:val="both"/>
      </w:pPr>
      <w:r>
        <w:rPr>
          <w:rFonts w:ascii="Sora" w:hAnsi="Sora" w:eastAsia="Sora" w:cs="Sora"/>
          <w:b w:val="0"/>
          <w:caps w:val="0"/>
          <w:color w:val="595959"/>
          <w:sz w:val="24"/>
          <w:u w:val="none"/>
        </w:rPr>
        <w:t xml:space="preserve">O segundo registro de </w:t>
      </w:r>
      <w:r>
        <w:rPr>
          <w:rFonts w:ascii="Sora" w:hAnsi="Sora" w:eastAsia="Sora" w:cs="Sora"/>
          <w:b/>
          <w:caps w:val="0"/>
          <w:color w:val="595959"/>
          <w:sz w:val="24"/>
          <w:u w:val="none"/>
        </w:rPr>
        <w:t>VINCITORE</w:t>
      </w:r>
      <w:r>
        <w:rPr>
          <w:rFonts w:ascii="Sora" w:hAnsi="Sora" w:eastAsia="Sora" w:cs="Sora"/>
          <w:b w:val="0"/>
          <w:caps w:val="0"/>
          <w:color w:val="595959"/>
          <w:sz w:val="24"/>
          <w:u w:val="none"/>
        </w:rPr>
        <w:t xml:space="preserve"> na Classe 35, processo </w:t>
      </w:r>
      <w:r>
        <w:rPr>
          <w:rFonts w:ascii="Sora" w:hAnsi="Sora" w:eastAsia="Sora" w:cs="Sora"/>
          <w:b/>
          <w:caps w:val="0"/>
          <w:color w:val="595959"/>
          <w:sz w:val="24"/>
          <w:u w:val="none"/>
        </w:rPr>
        <w:t>926560441</w:t>
      </w:r>
      <w:r>
        <w:rPr>
          <w:rFonts w:ascii="Sora" w:hAnsi="Sora" w:eastAsia="Sora" w:cs="Sora"/>
          <w:b w:val="0"/>
          <w:caps w:val="0"/>
          <w:color w:val="595959"/>
          <w:sz w:val="24"/>
          <w:u w:val="none"/>
        </w:rPr>
        <w:t xml:space="preserve">, de titularidade de </w:t>
      </w:r>
      <w:r>
        <w:rPr>
          <w:rFonts w:ascii="Sora" w:hAnsi="Sora" w:eastAsia="Sora" w:cs="Sora"/>
          <w:b/>
          <w:caps w:val="0"/>
          <w:color w:val="595959"/>
          <w:sz w:val="24"/>
          <w:u w:val="none"/>
        </w:rPr>
        <w:t>LAISE DE CERQUEIRA BRITO</w:t>
      </w:r>
      <w:r>
        <w:rPr>
          <w:rFonts w:ascii="Sora" w:hAnsi="Sora" w:eastAsia="Sora" w:cs="Sora"/>
          <w:b w:val="0"/>
          <w:caps w:val="0"/>
          <w:color w:val="595959"/>
          <w:sz w:val="24"/>
          <w:u w:val="none"/>
        </w:rPr>
        <w:t xml:space="preserve">, foi concedido em 15 de agosto de 2023 sob apresentação mista (com elemento figurativo) para comércio de artigos de joalheria e bijuteria. A especificação circunscreve-se ao nicho de acessórios de luxo — joias e bijuterias — sem qualquer toque no universo de vestuário fitness, beleza ou pilates. A apresentação mista acrescenta uma camada adicional de diferenciação, pois a proteção registral de marcas mistas incide sobre o conjunto (denominação + logotipo), reduzindo o alcance de oposição contra terceiros que utilizem apenas o elemento nominativo em contexto distinto. O risco oriundo deste processo é classificado como </w:t>
      </w:r>
      <w:r>
        <w:rPr>
          <w:rFonts w:ascii="Sora" w:hAnsi="Sora" w:eastAsia="Sora" w:cs="Sora"/>
          <w:b/>
          <w:caps w:val="0"/>
          <w:color w:val="595959"/>
          <w:sz w:val="24"/>
          <w:u w:val="none"/>
        </w:rPr>
        <w:t>BAIXO</w:t>
      </w:r>
      <w:r>
        <w:rPr>
          <w:rFonts w:ascii="Sora" w:hAnsi="Sora" w:eastAsia="Sora" w:cs="Sora"/>
          <w:b w:val="0"/>
          <w:caps w:val="0"/>
          <w:color w:val="595959"/>
          <w:sz w:val="24"/>
          <w:u w:val="none"/>
        </w:rPr>
        <w:t>.</w:t>
      </w:r>
    </w:p>
    <w:p>
      <w:pPr>
        <w:spacing w:after="240" w:line="360" w:lineRule="auto"/>
        <w:ind w:firstLine="1701"/>
        <w:jc w:val="both"/>
      </w:pPr>
      <w:r>
        <w:rPr>
          <w:rFonts w:ascii="Sora" w:hAnsi="Sora" w:eastAsia="Sora" w:cs="Sora"/>
          <w:b w:val="0"/>
          <w:caps w:val="0"/>
          <w:color w:val="595959"/>
          <w:sz w:val="24"/>
          <w:u w:val="none"/>
        </w:rPr>
        <w:t xml:space="preserve">A marca </w:t>
      </w:r>
      <w:r>
        <w:rPr>
          <w:rFonts w:ascii="Sora" w:hAnsi="Sora" w:eastAsia="Sora" w:cs="Sora"/>
          <w:b/>
          <w:caps w:val="0"/>
          <w:color w:val="595959"/>
          <w:sz w:val="24"/>
          <w:u w:val="none"/>
        </w:rPr>
        <w:t>SPAZIO VINCITORE</w:t>
      </w:r>
      <w:r>
        <w:rPr>
          <w:rFonts w:ascii="Sora" w:hAnsi="Sora" w:eastAsia="Sora" w:cs="Sora"/>
          <w:b w:val="0"/>
          <w:caps w:val="0"/>
          <w:color w:val="595959"/>
          <w:sz w:val="24"/>
          <w:u w:val="none"/>
        </w:rPr>
        <w:t xml:space="preserve">, processo </w:t>
      </w:r>
      <w:r>
        <w:rPr>
          <w:rFonts w:ascii="Sora" w:hAnsi="Sora" w:eastAsia="Sora" w:cs="Sora"/>
          <w:b/>
          <w:caps w:val="0"/>
          <w:color w:val="595959"/>
          <w:sz w:val="24"/>
          <w:u w:val="none"/>
        </w:rPr>
        <w:t>911529179</w:t>
      </w:r>
      <w:r>
        <w:rPr>
          <w:rFonts w:ascii="Sora" w:hAnsi="Sora" w:eastAsia="Sora" w:cs="Sora"/>
          <w:b w:val="0"/>
          <w:caps w:val="0"/>
          <w:color w:val="595959"/>
          <w:sz w:val="24"/>
          <w:u w:val="none"/>
        </w:rPr>
        <w:t xml:space="preserve">, de titularidade de </w:t>
      </w:r>
      <w:r>
        <w:rPr>
          <w:rFonts w:ascii="Sora" w:hAnsi="Sora" w:eastAsia="Sora" w:cs="Sora"/>
          <w:b/>
          <w:caps w:val="0"/>
          <w:color w:val="595959"/>
          <w:sz w:val="24"/>
          <w:u w:val="none"/>
        </w:rPr>
        <w:t>CENTRO DE ESTETICA E BELEZA ZENILDA MENESES - EIRELI - ME</w:t>
      </w:r>
      <w:r>
        <w:rPr>
          <w:rFonts w:ascii="Sora" w:hAnsi="Sora" w:eastAsia="Sora" w:cs="Sora"/>
          <w:b w:val="0"/>
          <w:caps w:val="0"/>
          <w:color w:val="595959"/>
          <w:sz w:val="24"/>
          <w:u w:val="none"/>
        </w:rPr>
        <w:t xml:space="preserve">, merece atenção diferenciada por atuar na Classe 44 — salão de beleza e clínica de estética — mesma classe pretendida por VINCORI. Registrada em 12 de junho de 2018 sob apresentação mista, a marca constitui expressão composta por dois elementos: "SPAZIO" (vocábulo italiano para "espaço") e "VINCITORE" (italiano para "vencedor"). A análise de colidência com VINCORI opera em dois planos. No plano nominativo, VINCORI e VINCITORE compartilham o radical "VINC-" mas divergem nas sílabas finais, conforme já demonstrado na análise do processo 917516141. No plano da marca como um todo, SPAZIO VINCITORE é expressão composta de duas palavras, enquanto VINCORI é vocábulo único — a presença do elemento "SPAZIO" na marca registrada dilui significativamente a semelhança global entre os sinais. Ademais, a apresentação mista do registro confere à marca proteção vinculada ao seu conjunto visual específico, o que reduz o alcance de oposição contra sinais nominativos puros como VINCORI. A atuação no mesmo segmento de estética e beleza, contudo, é fator que o examinador não ignorará. O risco é classificado como </w:t>
      </w:r>
      <w:r>
        <w:rPr>
          <w:rFonts w:ascii="Sora" w:hAnsi="Sora" w:eastAsia="Sora" w:cs="Sora"/>
          <w:b/>
          <w:caps w:val="0"/>
          <w:color w:val="595959"/>
          <w:sz w:val="24"/>
          <w:u w:val="none"/>
        </w:rPr>
        <w:t>MODERADO-BAIXO</w:t>
      </w:r>
      <w:r>
        <w:rPr>
          <w:rFonts w:ascii="Sora" w:hAnsi="Sora" w:eastAsia="Sora" w:cs="Sora"/>
          <w:b w:val="0"/>
          <w:caps w:val="0"/>
          <w:color w:val="595959"/>
          <w:sz w:val="24"/>
          <w:u w:val="none"/>
        </w:rPr>
        <w:t>, mitigável pela diferenciação visual e pela argumentação de que a marca registrada é composta (duas palavras com logotipo), ao passo que VINCORI é marca unitária de natureza fantasiosa.</w:t>
      </w:r>
    </w:p>
    <w:p>
      <w:pPr>
        <w:spacing w:after="240" w:line="360" w:lineRule="auto"/>
        <w:ind w:firstLine="1701"/>
        <w:jc w:val="both"/>
      </w:pPr>
      <w:r>
        <w:rPr>
          <w:rFonts w:ascii="Sora" w:hAnsi="Sora" w:eastAsia="Sora" w:cs="Sora"/>
          <w:b w:val="0"/>
          <w:caps w:val="0"/>
          <w:color w:val="595959"/>
          <w:sz w:val="24"/>
          <w:u w:val="none"/>
        </w:rPr>
        <w:t xml:space="preserve">A marca </w:t>
      </w:r>
      <w:r>
        <w:rPr>
          <w:rFonts w:ascii="Sora" w:hAnsi="Sora" w:eastAsia="Sora" w:cs="Sora"/>
          <w:b/>
          <w:caps w:val="0"/>
          <w:color w:val="595959"/>
          <w:sz w:val="24"/>
          <w:u w:val="none"/>
        </w:rPr>
        <w:t>CLINICA VICTORINE ESTETICA</w:t>
      </w:r>
      <w:r>
        <w:rPr>
          <w:rFonts w:ascii="Sora" w:hAnsi="Sora" w:eastAsia="Sora" w:cs="Sora"/>
          <w:b w:val="0"/>
          <w:caps w:val="0"/>
          <w:color w:val="595959"/>
          <w:sz w:val="24"/>
          <w:u w:val="none"/>
        </w:rPr>
        <w:t xml:space="preserve">, processo </w:t>
      </w:r>
      <w:r>
        <w:rPr>
          <w:rFonts w:ascii="Sora" w:hAnsi="Sora" w:eastAsia="Sora" w:cs="Sora"/>
          <w:b/>
          <w:caps w:val="0"/>
          <w:color w:val="595959"/>
          <w:sz w:val="24"/>
          <w:u w:val="none"/>
        </w:rPr>
        <w:t>905862430</w:t>
      </w:r>
      <w:r>
        <w:rPr>
          <w:rFonts w:ascii="Sora" w:hAnsi="Sora" w:eastAsia="Sora" w:cs="Sora"/>
          <w:b w:val="0"/>
          <w:caps w:val="0"/>
          <w:color w:val="595959"/>
          <w:sz w:val="24"/>
          <w:u w:val="none"/>
        </w:rPr>
        <w:t xml:space="preserve">, de titularidade de </w:t>
      </w:r>
      <w:r>
        <w:rPr>
          <w:rFonts w:ascii="Sora" w:hAnsi="Sora" w:eastAsia="Sora" w:cs="Sora"/>
          <w:b/>
          <w:caps w:val="0"/>
          <w:color w:val="595959"/>
          <w:sz w:val="24"/>
          <w:u w:val="none"/>
        </w:rPr>
        <w:t>ADELAIDE PEREIRA SALLES</w:t>
      </w:r>
      <w:r>
        <w:rPr>
          <w:rFonts w:ascii="Sora" w:hAnsi="Sora" w:eastAsia="Sora" w:cs="Sora"/>
          <w:b w:val="0"/>
          <w:caps w:val="0"/>
          <w:color w:val="595959"/>
          <w:sz w:val="24"/>
          <w:u w:val="none"/>
        </w:rPr>
        <w:t xml:space="preserve">, registrada na Classe 44 em 22 de dezembro de 2015, opera no segmento de massagem, terapia, estética facial e corporal, depilação e tratamento de pele e cabelo. A denominação VICTORINE difere de VINCORI em múltiplas dimensões: quatro sílabas contra três, radical "VICTOR-" contra "VINC-", terminação "-INE" contra "-ORI" e impressão fonética global francófona (VICTORINE evoca o feminino francês de "Victor") versus italianizante (VINCORI evoca o italiano). A apostila concedida pelo INPI — "sem direito ao uso exclusivo das expressões CLINICA e ESTETICA" — confirma que o elemento distintivo da marca é exclusivamente VICTORINE, cuja distância fonética e gráfica em relação a VINCORI é suficiente para afastar o risco de confusão. O risco é classificado como </w:t>
      </w:r>
      <w:r>
        <w:rPr>
          <w:rFonts w:ascii="Sora" w:hAnsi="Sora" w:eastAsia="Sora" w:cs="Sora"/>
          <w:b/>
          <w:caps w:val="0"/>
          <w:color w:val="595959"/>
          <w:sz w:val="24"/>
          <w:u w:val="none"/>
        </w:rPr>
        <w:t>BAIXO</w:t>
      </w:r>
      <w:r>
        <w:rPr>
          <w:rFonts w:ascii="Sora" w:hAnsi="Sora" w:eastAsia="Sora" w:cs="Sora"/>
          <w:b w:val="0"/>
          <w:caps w:val="0"/>
          <w:color w:val="595959"/>
          <w:sz w:val="24"/>
          <w:u w:val="none"/>
        </w:rPr>
        <w:t>.</w:t>
      </w:r>
    </w:p>
    <w:p>
      <w:pPr>
        <w:spacing w:after="240" w:line="360" w:lineRule="auto"/>
        <w:ind w:firstLine="1701"/>
        <w:jc w:val="both"/>
      </w:pPr>
      <w:r>
        <w:rPr>
          <w:rFonts w:ascii="Sora" w:hAnsi="Sora" w:eastAsia="Sora" w:cs="Sora"/>
          <w:b w:val="0"/>
          <w:caps w:val="0"/>
          <w:color w:val="595959"/>
          <w:sz w:val="24"/>
          <w:u w:val="none"/>
        </w:rPr>
        <w:t xml:space="preserve">As duas anterioridades da marca </w:t>
      </w:r>
      <w:r>
        <w:rPr>
          <w:rFonts w:ascii="Sora" w:hAnsi="Sora" w:eastAsia="Sora" w:cs="Sora"/>
          <w:b/>
          <w:caps w:val="0"/>
          <w:color w:val="595959"/>
          <w:sz w:val="24"/>
          <w:u w:val="none"/>
        </w:rPr>
        <w:t>V Y VICTORINY</w:t>
      </w:r>
      <w:r>
        <w:rPr>
          <w:rFonts w:ascii="Sora" w:hAnsi="Sora" w:eastAsia="Sora" w:cs="Sora"/>
          <w:b w:val="0"/>
          <w:caps w:val="0"/>
          <w:color w:val="595959"/>
          <w:sz w:val="24"/>
          <w:u w:val="none"/>
        </w:rPr>
        <w:t xml:space="preserve">, processos </w:t>
      </w:r>
      <w:r>
        <w:rPr>
          <w:rFonts w:ascii="Sora" w:hAnsi="Sora" w:eastAsia="Sora" w:cs="Sora"/>
          <w:b/>
          <w:caps w:val="0"/>
          <w:color w:val="595959"/>
          <w:sz w:val="24"/>
          <w:u w:val="none"/>
        </w:rPr>
        <w:t>906243920</w:t>
      </w:r>
      <w:r>
        <w:rPr>
          <w:rFonts w:ascii="Sora" w:hAnsi="Sora" w:eastAsia="Sora" w:cs="Sora"/>
          <w:b w:val="0"/>
          <w:caps w:val="0"/>
          <w:color w:val="595959"/>
          <w:sz w:val="24"/>
          <w:u w:val="none"/>
        </w:rPr>
        <w:t xml:space="preserve"> (Classe 35, comércio de vestuário) e </w:t>
      </w:r>
      <w:r>
        <w:rPr>
          <w:rFonts w:ascii="Sora" w:hAnsi="Sora" w:eastAsia="Sora" w:cs="Sora"/>
          <w:b/>
          <w:caps w:val="0"/>
          <w:color w:val="595959"/>
          <w:sz w:val="24"/>
          <w:u w:val="none"/>
        </w:rPr>
        <w:t>906243726</w:t>
      </w:r>
      <w:r>
        <w:rPr>
          <w:rFonts w:ascii="Sora" w:hAnsi="Sora" w:eastAsia="Sora" w:cs="Sora"/>
          <w:b w:val="0"/>
          <w:caps w:val="0"/>
          <w:color w:val="595959"/>
          <w:sz w:val="24"/>
          <w:u w:val="none"/>
        </w:rPr>
        <w:t xml:space="preserve"> (Classe 25, vestuário), de titularidade de </w:t>
      </w:r>
      <w:r>
        <w:rPr>
          <w:rFonts w:ascii="Sora" w:hAnsi="Sora" w:eastAsia="Sora" w:cs="Sora"/>
          <w:b/>
          <w:caps w:val="0"/>
          <w:color w:val="595959"/>
          <w:sz w:val="24"/>
          <w:u w:val="none"/>
        </w:rPr>
        <w:t>MARTA LUCIA TEREZA DE ABREU</w:t>
      </w:r>
      <w:r>
        <w:rPr>
          <w:rFonts w:ascii="Sora" w:hAnsi="Sora" w:eastAsia="Sora" w:cs="Sora"/>
          <w:b w:val="0"/>
          <w:caps w:val="0"/>
          <w:color w:val="595959"/>
          <w:sz w:val="24"/>
          <w:u w:val="none"/>
        </w:rPr>
        <w:t xml:space="preserve">, apresentam-se sob forma mista e possuem vigência que se encerra em março-abril de 2026 — estando, portanto, no período de prorrogação ordinária ou extraordinária. A marca VICTORINY, embora compartilhando com VINCORI as letras iniciais "VIC/VINC", constitui vocábulo com estrutura silábica e impressão fonética radicalmente distintas: VIC-TO-RI-NY (quatro sílabas, terminação "-NY") contra VIN-CO-RI (três sílabas, terminação "-RI"). A presença do prefixo "V Y" na marca composta acrescenta elemento diferenciador adicional. O risco é classificado como </w:t>
      </w:r>
      <w:r>
        <w:rPr>
          <w:rFonts w:ascii="Sora" w:hAnsi="Sora" w:eastAsia="Sora" w:cs="Sora"/>
          <w:b/>
          <w:caps w:val="0"/>
          <w:color w:val="595959"/>
          <w:sz w:val="24"/>
          <w:u w:val="none"/>
        </w:rPr>
        <w:t>BAIXO</w:t>
      </w:r>
      <w:r>
        <w:rPr>
          <w:rFonts w:ascii="Sora" w:hAnsi="Sora" w:eastAsia="Sora" w:cs="Sora"/>
          <w:b w:val="0"/>
          <w:caps w:val="0"/>
          <w:color w:val="595959"/>
          <w:sz w:val="24"/>
          <w:u w:val="none"/>
        </w:rPr>
        <w:t>, ainda mais considerando que a vigência dos registros se aproxima do término sem evidência de prorrogação nos dados publicados até a RPI 2879.</w:t>
      </w:r>
    </w:p>
    <w:p>
      <w:pPr>
        <w:spacing w:after="240" w:line="360" w:lineRule="auto"/>
        <w:ind w:firstLine="1701"/>
        <w:jc w:val="both"/>
      </w:pPr>
      <w:r>
        <w:rPr>
          <w:rFonts w:ascii="Sora" w:hAnsi="Sora" w:eastAsia="Sora" w:cs="Sora"/>
          <w:b w:val="0"/>
          <w:caps w:val="0"/>
          <w:color w:val="595959"/>
          <w:sz w:val="24"/>
          <w:u w:val="none"/>
        </w:rPr>
        <w:t xml:space="preserve">Diante do quadro de anterioridades mapeado, a viabilidade de registro da marca VINCORI para os segmentos de moda fitness, salão de beleza/SPA, studio de pilates e bebidas funcionais é avaliada como </w:t>
      </w:r>
      <w:r>
        <w:rPr>
          <w:rFonts w:ascii="Sora" w:hAnsi="Sora" w:eastAsia="Sora" w:cs="Sora"/>
          <w:b/>
          <w:caps w:val="0"/>
          <w:color w:val="595959"/>
          <w:sz w:val="24"/>
          <w:u w:val="none"/>
        </w:rPr>
        <w:t>MUITO PROVÁVEL</w:t>
      </w:r>
      <w:r>
        <w:rPr>
          <w:rFonts w:ascii="Sora" w:hAnsi="Sora" w:eastAsia="Sora" w:cs="Sora"/>
          <w:b w:val="0"/>
          <w:caps w:val="0"/>
          <w:color w:val="595959"/>
          <w:sz w:val="24"/>
          <w:u w:val="none"/>
        </w:rPr>
        <w:t>, com ressalva estratégica na Classe 25 em razão da anterioridade VINCITORE (processo 917516141). A recomendação é de depósito nas cinco classes indicadas, priorizando a construção de identidade visual fortemente diferenciada — tipografia, paleta cromática e elementos gráficos que distanciem inequivocamente VINCORI do universo visual de VINCITORE. Na eventual manifestação do examinador sobre semelhança fonética na Classe 25, a argumentação técnica deverá apoiar-se em três pilares: primeiro, a diferença estrutural de sílabas (três contra quatro) e a terminação distinta ("-ori" versus "-ore"); segundo, o caráter fantasioso de VINCORI como neologismo puro, em contraposição a VINCITORE que é vocábulo existente no idioma italiano; terceiro, a diferenciação mercadológica entre moda fitness premium no estilo old money e o segmento genérico de vestuário coberto pelo registro anterior. Nas Classes 44 e 41, o cenário é mais favorável, com anterioridades que não representam obstáculo material ao registro. Na Classe 32 (bebidas), não foram localizadas anterioridades relevantes, o que configura campo marcário livre para depósito imediato.</w:t>
      </w:r>
    </w:p>
    <w:p>
      <w:pPr>
        <w:spacing w:before="720"/>
        <w:jc w:val="right"/>
      </w:pPr>
      <w:r>
        <w:rPr>
          <w:rFonts w:ascii="Sora" w:hAnsi="Sora" w:eastAsia="Sora" w:cs="Sora"/>
          <w:b w:val="0"/>
          <w:caps w:val="0"/>
          <w:color w:val="595959"/>
          <w:sz w:val="24"/>
          <w:u w:val="none"/>
        </w:rPr>
        <w:t>É o parecer.</w:t>
        <w:br/>
        <w:t>12 de março de 2026.</w:t>
        <w:br/>
        <w:t>Equipe Genesis</w:t>
      </w:r>
    </w:p>
    <w:sectPr w:rsidR="00FC693F" w:rsidRPr="0006063C" w:rsidSect="00034616">
      <w:headerReference w:type="first" r:id="rId9"/>
      <w:headerReference w:type="default" r:id="rId10"/>
      <w:footerReference w:type="default" r:id="rId11"/>
      <w:footerReference w:type="first" r:id="rId12"/>
      <w:pgSz w:w="12240" w:h="15840"/>
      <w:pgMar w:top="2268"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535"/>
      <w:gridCol w:w="4535"/>
    </w:tblGrid>
    <w:tr>
      <w:tc>
        <w:tcPr>
          <w:tcW w:type="dxa" w:w="4535"/>
          <w:vAlign w:val="center"/>
        </w:tcPr>
        <w:p>
          <w:pPr>
            <w:jc w:val="left"/>
          </w:pPr>
        </w:p>
      </w:tc>
      <w:tc>
        <w:tcPr>
          <w:tcW w:type="dxa" w:w="4535"/>
          <w:vAlign w:val="center"/>
        </w:tcPr>
        <w:p>
          <w:pPr>
            <w:jc w:val="right"/>
          </w:pPr>
          <w:r>
            <w:rPr>
              <w:rFonts w:ascii="Sora" w:hAnsi="Sora" w:eastAsia="Sora" w:cs="Sora"/>
              <w:b w:val="0"/>
              <w:caps w:val="0"/>
              <w:color w:val="656565"/>
              <w:sz w:val="22"/>
              <w:u w:val="none"/>
            </w:rPr>
            <w:t>Para</w:t>
            <w:br/>
          </w:r>
          <w:r>
            <w:rPr>
              <w:rFonts w:ascii="Sora" w:hAnsi="Sora" w:eastAsia="Sora" w:cs="Sora"/>
              <w:b/>
              <w:caps w:val="0"/>
              <w:color w:val="595959"/>
              <w:sz w:val="32"/>
              <w:u w:val="none"/>
            </w:rPr>
            <w:t>Eduarda Veiga</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