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0B0AB" w14:textId="77777777" w:rsidR="009901F2" w:rsidRDefault="009901F2" w:rsidP="009901F2">
      <w:pPr>
        <w:pStyle w:val="Titolo"/>
        <w:spacing w:after="160"/>
        <w:jc w:val="both"/>
      </w:pPr>
      <w:r>
        <w:t>AppendixDescription.docx</w:t>
      </w:r>
      <w:bookmarkStart w:id="0" w:name="_GoBack"/>
      <w:bookmarkEnd w:id="0"/>
    </w:p>
    <w:p w14:paraId="2C4681F0" w14:textId="1859268B" w:rsidR="009901F2" w:rsidRDefault="009901F2" w:rsidP="009901F2">
      <w:pPr>
        <w:pStyle w:val="Paragrafoelenco"/>
        <w:contextualSpacing w:val="0"/>
        <w:jc w:val="both"/>
      </w:pPr>
      <w:r>
        <w:t xml:space="preserve">The </w:t>
      </w:r>
      <w:r w:rsidR="00C54868">
        <w:t>d</w:t>
      </w:r>
      <w:r>
        <w:t xml:space="preserve">ocument presents </w:t>
      </w:r>
      <w:r w:rsidR="00C54868">
        <w:t xml:space="preserve">a </w:t>
      </w:r>
      <w:r>
        <w:t xml:space="preserve">detailed description of the exogenous consolidation measures adopted in different years country by country. For each year we present a brief motivation underlying the decision to ascribe the measures undertaken to the exogenous consolidation-driven measures, having as a guideline the reasoning that those measures are usually presented as plans for long-term deficit reduction and do not reflect </w:t>
      </w:r>
      <w:r w:rsidR="00C54868">
        <w:t>s</w:t>
      </w:r>
      <w:r>
        <w:t>hort term countercyclical actions. We were guided by the previous work of Devries et al. (2011), making use of their classification motivations</w:t>
      </w:r>
      <w:r w:rsidR="00C54868">
        <w:t>,</w:t>
      </w:r>
      <w:r>
        <w:t xml:space="preserve"> while stressing the differences between their and our decisions when such are present. A major difference with respect to Devries et al. (2011) is that we group the measures by the years in which they were introduced instead of grouping by the year of effective implementation as done in the </w:t>
      </w:r>
      <w:proofErr w:type="gramStart"/>
      <w:r>
        <w:t>aforementioned paper</w:t>
      </w:r>
      <w:proofErr w:type="gramEnd"/>
      <w:r>
        <w:t>.</w:t>
      </w:r>
    </w:p>
    <w:p w14:paraId="27F3AAA8" w14:textId="390F5FE2" w:rsidR="009901F2" w:rsidRDefault="00C54868" w:rsidP="009901F2">
      <w:pPr>
        <w:pStyle w:val="Paragrafoelenco"/>
        <w:contextualSpacing w:val="0"/>
        <w:jc w:val="both"/>
      </w:pPr>
      <w:r>
        <w:t>For each country we include</w:t>
      </w:r>
      <w:r w:rsidR="009901F2">
        <w:t xml:space="preserve"> an </w:t>
      </w:r>
      <w:proofErr w:type="gramStart"/>
      <w:r w:rsidR="009901F2" w:rsidRPr="004B415E">
        <w:rPr>
          <w:b/>
          <w:i/>
        </w:rPr>
        <w:t>Important remarks</w:t>
      </w:r>
      <w:proofErr w:type="gramEnd"/>
      <w:r w:rsidR="009901F2">
        <w:rPr>
          <w:i/>
        </w:rPr>
        <w:t xml:space="preserve"> </w:t>
      </w:r>
      <w:r w:rsidR="009901F2">
        <w:t>and</w:t>
      </w:r>
      <w:r>
        <w:t xml:space="preserve"> a</w:t>
      </w:r>
      <w:r w:rsidR="009901F2">
        <w:t xml:space="preserve"> </w:t>
      </w:r>
      <w:r w:rsidR="009901F2" w:rsidRPr="004B415E">
        <w:rPr>
          <w:b/>
          <w:i/>
        </w:rPr>
        <w:t>Final Notes</w:t>
      </w:r>
      <w:r w:rsidR="009901F2">
        <w:rPr>
          <w:i/>
        </w:rPr>
        <w:t xml:space="preserve"> </w:t>
      </w:r>
      <w:r w:rsidR="009901F2">
        <w:t>sections which complement the description of the appendix</w:t>
      </w:r>
      <w:r>
        <w:t>,</w:t>
      </w:r>
      <w:r w:rsidR="009901F2">
        <w:t xml:space="preserve"> as well as </w:t>
      </w:r>
      <w:r w:rsidR="009901F2">
        <w:rPr>
          <w:b/>
          <w:i/>
        </w:rPr>
        <w:t>Notes</w:t>
      </w:r>
      <w:r w:rsidR="009901F2">
        <w:t xml:space="preserve"> related to yearly measure description.</w:t>
      </w:r>
    </w:p>
    <w:p w14:paraId="49E6BA09" w14:textId="77777777" w:rsidR="009901F2" w:rsidRDefault="009901F2" w:rsidP="009901F2">
      <w:pPr>
        <w:pStyle w:val="Paragrafoelenco"/>
        <w:contextualSpacing w:val="0"/>
        <w:jc w:val="both"/>
      </w:pPr>
      <w:r>
        <w:t xml:space="preserve">In </w:t>
      </w:r>
      <w:r w:rsidRPr="004B415E">
        <w:rPr>
          <w:b/>
          <w:i/>
        </w:rPr>
        <w:t>Important remarks</w:t>
      </w:r>
      <w:r>
        <w:rPr>
          <w:i/>
        </w:rPr>
        <w:t xml:space="preserve"> </w:t>
      </w:r>
      <w:r>
        <w:t xml:space="preserve">one will find the sources used in the dataset construction, clarifications of measure assignment together with several remarks on fiscal year dating conventions (for cases when the fiscal and calendar year differ) and additional comments related to dataset construction. </w:t>
      </w:r>
    </w:p>
    <w:p w14:paraId="337BBE4B" w14:textId="77777777" w:rsidR="009901F2" w:rsidRDefault="009901F2" w:rsidP="009901F2">
      <w:pPr>
        <w:pStyle w:val="Paragrafoelenco"/>
        <w:contextualSpacing w:val="0"/>
        <w:jc w:val="both"/>
      </w:pPr>
      <w:r>
        <w:t xml:space="preserve">In </w:t>
      </w:r>
      <w:r>
        <w:rPr>
          <w:b/>
          <w:i/>
        </w:rPr>
        <w:t>Final Notes</w:t>
      </w:r>
      <w:r>
        <w:t xml:space="preserve"> one will find the motivation behind the decision to not include in our database several years when the fiscal consolidation was undertaken (endogenous, short term oriented). Several motivations, being agreed with, are taken from Devries et al. (2011).</w:t>
      </w:r>
    </w:p>
    <w:p w14:paraId="2D40009D" w14:textId="77777777" w:rsidR="009901F2" w:rsidRDefault="009901F2" w:rsidP="009901F2">
      <w:pPr>
        <w:pStyle w:val="Paragrafoelenco"/>
        <w:contextualSpacing w:val="0"/>
        <w:jc w:val="both"/>
      </w:pPr>
      <w:r>
        <w:t xml:space="preserve">In </w:t>
      </w:r>
      <w:r>
        <w:rPr>
          <w:b/>
          <w:i/>
        </w:rPr>
        <w:t>Notes</w:t>
      </w:r>
      <w:r>
        <w:t xml:space="preserve"> related to yearly entries, one will find motivations underlying dubious classification issues, such as, for example, when a measure description in the original document is vague, as well as remarks relevant for the database construction. Again, we highlight differences and similarities with the decisions of Devries et al. (2011).</w:t>
      </w:r>
    </w:p>
    <w:p w14:paraId="71DA7B7F" w14:textId="77777777" w:rsidR="009901F2" w:rsidRDefault="009901F2" w:rsidP="008B31A5">
      <w:pPr>
        <w:pStyle w:val="Titolo"/>
        <w:jc w:val="both"/>
      </w:pPr>
    </w:p>
    <w:p w14:paraId="6993551F" w14:textId="77777777" w:rsidR="009901F2" w:rsidRDefault="009901F2" w:rsidP="008B31A5">
      <w:pPr>
        <w:pStyle w:val="Titolo"/>
        <w:jc w:val="both"/>
      </w:pPr>
    </w:p>
    <w:p w14:paraId="2146D981" w14:textId="77777777" w:rsidR="009901F2" w:rsidRDefault="009901F2" w:rsidP="008B31A5">
      <w:pPr>
        <w:pStyle w:val="Titolo"/>
        <w:jc w:val="both"/>
      </w:pPr>
    </w:p>
    <w:p w14:paraId="0EFE2A8B" w14:textId="77777777" w:rsidR="009901F2" w:rsidRDefault="009901F2" w:rsidP="008B31A5">
      <w:pPr>
        <w:pStyle w:val="Titolo"/>
        <w:jc w:val="both"/>
      </w:pPr>
    </w:p>
    <w:p w14:paraId="347EDEA7" w14:textId="77777777" w:rsidR="009901F2" w:rsidRDefault="009901F2" w:rsidP="008B31A5">
      <w:pPr>
        <w:pStyle w:val="Titolo"/>
        <w:jc w:val="both"/>
      </w:pPr>
    </w:p>
    <w:p w14:paraId="16FEC4EF" w14:textId="77777777" w:rsidR="009901F2" w:rsidRDefault="009901F2" w:rsidP="008B31A5">
      <w:pPr>
        <w:pStyle w:val="Titolo"/>
        <w:jc w:val="both"/>
      </w:pPr>
    </w:p>
    <w:p w14:paraId="0F79B13F" w14:textId="77777777" w:rsidR="009901F2" w:rsidRDefault="009901F2" w:rsidP="008B31A5">
      <w:pPr>
        <w:pStyle w:val="Titolo"/>
        <w:jc w:val="both"/>
      </w:pPr>
    </w:p>
    <w:p w14:paraId="6199F2B6" w14:textId="46D5B47B" w:rsidR="00D80B8B" w:rsidRDefault="00B31FE3" w:rsidP="008B31A5">
      <w:pPr>
        <w:pStyle w:val="Titolo"/>
        <w:jc w:val="both"/>
      </w:pPr>
      <w:r>
        <w:lastRenderedPageBreak/>
        <w:t>AppendixTables</w:t>
      </w:r>
      <w:r w:rsidR="005A0ABF">
        <w:t>.xlsx</w:t>
      </w:r>
    </w:p>
    <w:p w14:paraId="6A010815" w14:textId="77777777" w:rsidR="00B31FE3" w:rsidRPr="0045313D" w:rsidRDefault="00B31FE3" w:rsidP="008B31A5">
      <w:pPr>
        <w:pStyle w:val="Paragrafoelenco"/>
        <w:numPr>
          <w:ilvl w:val="0"/>
          <w:numId w:val="1"/>
        </w:numPr>
        <w:jc w:val="both"/>
        <w:rPr>
          <w:b/>
          <w:sz w:val="32"/>
        </w:rPr>
      </w:pPr>
      <w:r w:rsidRPr="0045313D">
        <w:rPr>
          <w:b/>
          <w:sz w:val="32"/>
        </w:rPr>
        <w:t>Input</w:t>
      </w:r>
    </w:p>
    <w:p w14:paraId="449FF0E9" w14:textId="77777777" w:rsidR="00B31FE3" w:rsidRDefault="00B31FE3" w:rsidP="008B31A5">
      <w:pPr>
        <w:pStyle w:val="Paragrafoelenco"/>
        <w:jc w:val="both"/>
      </w:pPr>
      <w:r>
        <w:t>This sheet contains the entries of fiscal consolidation measures</w:t>
      </w:r>
      <w:r w:rsidR="004E0B25">
        <w:t xml:space="preserve"> propositions</w:t>
      </w:r>
      <w:r>
        <w:t xml:space="preserve"> for each </w:t>
      </w:r>
      <w:r w:rsidR="004E0B25">
        <w:t>of the 16 countries</w:t>
      </w:r>
      <w:r>
        <w:t xml:space="preserve"> for the period from 1978 to 2014. The measures are recorded in </w:t>
      </w:r>
      <w:r w:rsidR="008B31A5">
        <w:t>the</w:t>
      </w:r>
      <w:r>
        <w:t xml:space="preserve"> year in which they were proposed, </w:t>
      </w:r>
      <w:r w:rsidR="00741DEE">
        <w:t xml:space="preserve">with the expected effect for the relevant years separated. The measures that are recorded for the current year are considered unexpected for the given year. The measures that are announced to be enacted in the following years are considered expected in the year of enactment. </w:t>
      </w:r>
      <w:r w:rsidR="00CA3D9D">
        <w:t xml:space="preserve">Importantly, the measure amount is provided in </w:t>
      </w:r>
      <w:r w:rsidR="00CA3D9D" w:rsidRPr="00CA3D9D">
        <w:rPr>
          <w:b/>
        </w:rPr>
        <w:t>levels of local currency</w:t>
      </w:r>
      <w:r w:rsidR="00CA3D9D">
        <w:rPr>
          <w:b/>
        </w:rPr>
        <w:t xml:space="preserve"> </w:t>
      </w:r>
      <w:r w:rsidR="00CA3D9D" w:rsidRPr="00CA3D9D">
        <w:t xml:space="preserve">and </w:t>
      </w:r>
      <w:r w:rsidR="00CA3D9D" w:rsidRPr="00CA3D9D">
        <w:rPr>
          <w:b/>
        </w:rPr>
        <w:t>not in</w:t>
      </w:r>
      <w:r w:rsidR="00CA3D9D">
        <w:rPr>
          <w:b/>
        </w:rPr>
        <w:t xml:space="preserve"> percentages of GDP</w:t>
      </w:r>
      <w:r w:rsidR="00CA3D9D" w:rsidRPr="0037735A">
        <w:t>.</w:t>
      </w:r>
    </w:p>
    <w:p w14:paraId="46E9E7F8" w14:textId="77777777" w:rsidR="004E0B25" w:rsidRDefault="004E0B25" w:rsidP="008B31A5">
      <w:pPr>
        <w:pStyle w:val="Paragrafoelenco"/>
        <w:jc w:val="both"/>
      </w:pPr>
      <w:r>
        <w:t xml:space="preserve">The </w:t>
      </w:r>
      <w:r w:rsidR="008B31A5">
        <w:rPr>
          <w:b/>
        </w:rPr>
        <w:t>notes</w:t>
      </w:r>
      <w:r>
        <w:t xml:space="preserve"> column contains clarifications with regards to the identification and classification of the measures.</w:t>
      </w:r>
    </w:p>
    <w:p w14:paraId="16750052" w14:textId="77777777" w:rsidR="004E0B25" w:rsidRDefault="004E0B25" w:rsidP="008B31A5">
      <w:pPr>
        <w:pStyle w:val="Paragrafoelenco"/>
        <w:jc w:val="both"/>
      </w:pPr>
      <w:r>
        <w:t xml:space="preserve">The </w:t>
      </w:r>
      <w:r w:rsidRPr="0045313D">
        <w:rPr>
          <w:b/>
        </w:rPr>
        <w:t>source</w:t>
      </w:r>
      <w:r>
        <w:t xml:space="preserve"> column contains the source(s), </w:t>
      </w:r>
      <w:r w:rsidR="008B31A5">
        <w:t>from which</w:t>
      </w:r>
      <w:r>
        <w:t xml:space="preserve"> the measures were identified and quantified.</w:t>
      </w:r>
    </w:p>
    <w:p w14:paraId="2199FA7F" w14:textId="32160C56" w:rsidR="004E0B25" w:rsidRDefault="004E0B25" w:rsidP="008B31A5">
      <w:pPr>
        <w:pStyle w:val="Paragrafoelenco"/>
        <w:jc w:val="both"/>
      </w:pPr>
      <w:r>
        <w:t>Each measure is classified in one of</w:t>
      </w:r>
      <w:r w:rsidR="00C54868">
        <w:t xml:space="preserve"> the</w:t>
      </w:r>
      <w:r>
        <w:t xml:space="preserve"> </w:t>
      </w:r>
      <w:r w:rsidRPr="0045313D">
        <w:rPr>
          <w:b/>
        </w:rPr>
        <w:t>2</w:t>
      </w:r>
      <w:r w:rsidR="004E5013" w:rsidRPr="0045313D">
        <w:rPr>
          <w:b/>
        </w:rPr>
        <w:t>7</w:t>
      </w:r>
      <w:r w:rsidRPr="0045313D">
        <w:rPr>
          <w:b/>
        </w:rPr>
        <w:t xml:space="preserve"> categories</w:t>
      </w:r>
      <w:r>
        <w:t xml:space="preserve"> listed below.</w:t>
      </w:r>
    </w:p>
    <w:tbl>
      <w:tblPr>
        <w:tblStyle w:val="Grigliatabella"/>
        <w:tblW w:w="6465" w:type="dxa"/>
        <w:jc w:val="center"/>
        <w:tblLook w:val="04A0" w:firstRow="1" w:lastRow="0" w:firstColumn="1" w:lastColumn="0" w:noHBand="0" w:noVBand="1"/>
      </w:tblPr>
      <w:tblGrid>
        <w:gridCol w:w="1246"/>
        <w:gridCol w:w="5219"/>
      </w:tblGrid>
      <w:tr w:rsidR="00B93745" w:rsidRPr="00B93745" w14:paraId="4110B66D" w14:textId="77777777" w:rsidTr="00131CAC">
        <w:trPr>
          <w:trHeight w:val="536"/>
          <w:jc w:val="center"/>
        </w:trPr>
        <w:tc>
          <w:tcPr>
            <w:tcW w:w="1246" w:type="dxa"/>
            <w:shd w:val="clear" w:color="auto" w:fill="D9D9D9" w:themeFill="background1" w:themeFillShade="D9"/>
            <w:noWrap/>
            <w:vAlign w:val="center"/>
            <w:hideMark/>
          </w:tcPr>
          <w:p w14:paraId="2B2B9029" w14:textId="77777777" w:rsidR="00B93745" w:rsidRPr="00496DCA" w:rsidRDefault="00131CAC" w:rsidP="008B31A5">
            <w:pPr>
              <w:jc w:val="both"/>
              <w:rPr>
                <w:rFonts w:ascii="Calibri" w:eastAsia="Times New Roman" w:hAnsi="Calibri" w:cs="Times New Roman"/>
                <w:b/>
                <w:color w:val="000000"/>
                <w:sz w:val="22"/>
              </w:rPr>
            </w:pPr>
            <w:r>
              <w:rPr>
                <w:rFonts w:ascii="Calibri" w:eastAsia="Times New Roman" w:hAnsi="Calibri" w:cs="Times New Roman"/>
                <w:b/>
                <w:color w:val="000000"/>
                <w:sz w:val="22"/>
              </w:rPr>
              <w:t>C</w:t>
            </w:r>
            <w:r w:rsidR="00B93745" w:rsidRPr="00496DCA">
              <w:rPr>
                <w:rFonts w:ascii="Calibri" w:eastAsia="Times New Roman" w:hAnsi="Calibri" w:cs="Times New Roman"/>
                <w:b/>
                <w:color w:val="000000"/>
                <w:sz w:val="22"/>
              </w:rPr>
              <w:t>ategory</w:t>
            </w:r>
          </w:p>
        </w:tc>
        <w:tc>
          <w:tcPr>
            <w:tcW w:w="5219" w:type="dxa"/>
            <w:shd w:val="clear" w:color="auto" w:fill="D9D9D9" w:themeFill="background1" w:themeFillShade="D9"/>
            <w:vAlign w:val="center"/>
          </w:tcPr>
          <w:p w14:paraId="41464D4F" w14:textId="77777777" w:rsidR="00B93745" w:rsidRPr="00B93745" w:rsidRDefault="00131CAC" w:rsidP="008B31A5">
            <w:pPr>
              <w:jc w:val="both"/>
              <w:rPr>
                <w:rFonts w:ascii="Calibri" w:eastAsia="Times New Roman" w:hAnsi="Calibri" w:cs="Times New Roman"/>
                <w:b/>
                <w:bCs/>
                <w:color w:val="000000" w:themeColor="text1"/>
                <w:sz w:val="22"/>
              </w:rPr>
            </w:pPr>
            <w:r>
              <w:rPr>
                <w:rFonts w:ascii="Calibri" w:eastAsia="Times New Roman" w:hAnsi="Calibri" w:cs="Times New Roman"/>
                <w:b/>
                <w:bCs/>
                <w:color w:val="000000" w:themeColor="text1"/>
                <w:sz w:val="22"/>
              </w:rPr>
              <w:t>D</w:t>
            </w:r>
            <w:r w:rsidR="00496DCA">
              <w:rPr>
                <w:rFonts w:ascii="Calibri" w:eastAsia="Times New Roman" w:hAnsi="Calibri" w:cs="Times New Roman"/>
                <w:b/>
                <w:bCs/>
                <w:color w:val="000000" w:themeColor="text1"/>
                <w:sz w:val="22"/>
              </w:rPr>
              <w:t>escription</w:t>
            </w:r>
          </w:p>
        </w:tc>
      </w:tr>
      <w:tr w:rsidR="00B93745" w:rsidRPr="00B93745" w14:paraId="0BF83E2D" w14:textId="77777777" w:rsidTr="00496DCA">
        <w:trPr>
          <w:trHeight w:val="300"/>
          <w:jc w:val="center"/>
        </w:trPr>
        <w:tc>
          <w:tcPr>
            <w:tcW w:w="1246" w:type="dxa"/>
            <w:shd w:val="clear" w:color="auto" w:fill="C45911" w:themeFill="accent2" w:themeFillShade="BF"/>
            <w:noWrap/>
            <w:vAlign w:val="center"/>
            <w:hideMark/>
          </w:tcPr>
          <w:p w14:paraId="39334E90" w14:textId="77777777" w:rsidR="00B93745" w:rsidRPr="00B93745" w:rsidRDefault="00B93745" w:rsidP="008B31A5">
            <w:pPr>
              <w:jc w:val="both"/>
              <w:rPr>
                <w:rFonts w:ascii="Calibri" w:eastAsia="Times New Roman" w:hAnsi="Calibri" w:cs="Times New Roman"/>
                <w:b/>
                <w:bCs/>
                <w:color w:val="000000"/>
                <w:sz w:val="22"/>
              </w:rPr>
            </w:pPr>
            <w:r w:rsidRPr="00B93745">
              <w:rPr>
                <w:rFonts w:ascii="Calibri" w:eastAsia="Times New Roman" w:hAnsi="Calibri" w:cs="Times New Roman"/>
                <w:b/>
                <w:bCs/>
                <w:color w:val="000000"/>
                <w:sz w:val="22"/>
              </w:rPr>
              <w:t>CONS</w:t>
            </w:r>
          </w:p>
        </w:tc>
        <w:tc>
          <w:tcPr>
            <w:tcW w:w="5219" w:type="dxa"/>
            <w:shd w:val="clear" w:color="auto" w:fill="F4B083" w:themeFill="accent2" w:themeFillTint="99"/>
            <w:noWrap/>
            <w:vAlign w:val="center"/>
            <w:hideMark/>
          </w:tcPr>
          <w:p w14:paraId="0059B16C" w14:textId="77777777" w:rsidR="00B93745" w:rsidRPr="00B93745" w:rsidRDefault="00B93745" w:rsidP="008B31A5">
            <w:pPr>
              <w:jc w:val="both"/>
              <w:rPr>
                <w:rFonts w:ascii="Calibri" w:eastAsia="Times New Roman" w:hAnsi="Calibri" w:cs="Times New Roman"/>
                <w:color w:val="000000"/>
                <w:sz w:val="22"/>
              </w:rPr>
            </w:pPr>
            <w:r w:rsidRPr="00B93745">
              <w:rPr>
                <w:rFonts w:ascii="Calibri" w:eastAsia="Times New Roman" w:hAnsi="Calibri" w:cs="Times New Roman"/>
                <w:color w:val="000000"/>
                <w:sz w:val="22"/>
              </w:rPr>
              <w:t>Consumption</w:t>
            </w:r>
          </w:p>
        </w:tc>
      </w:tr>
      <w:tr w:rsidR="00B93745" w:rsidRPr="00B93745" w14:paraId="50FE5C72" w14:textId="77777777" w:rsidTr="00496DCA">
        <w:trPr>
          <w:trHeight w:val="300"/>
          <w:jc w:val="center"/>
        </w:trPr>
        <w:tc>
          <w:tcPr>
            <w:tcW w:w="1246" w:type="dxa"/>
            <w:shd w:val="clear" w:color="auto" w:fill="C45911" w:themeFill="accent2" w:themeFillShade="BF"/>
            <w:noWrap/>
            <w:vAlign w:val="center"/>
            <w:hideMark/>
          </w:tcPr>
          <w:p w14:paraId="4D75F1D5" w14:textId="77777777" w:rsidR="00B93745" w:rsidRPr="00B93745" w:rsidRDefault="00B93745" w:rsidP="008B31A5">
            <w:pPr>
              <w:jc w:val="both"/>
              <w:rPr>
                <w:rFonts w:ascii="Calibri" w:eastAsia="Times New Roman" w:hAnsi="Calibri" w:cs="Times New Roman"/>
                <w:b/>
                <w:bCs/>
                <w:color w:val="000000"/>
                <w:sz w:val="22"/>
              </w:rPr>
            </w:pPr>
            <w:r w:rsidRPr="00B93745">
              <w:rPr>
                <w:rFonts w:ascii="Calibri" w:eastAsia="Times New Roman" w:hAnsi="Calibri" w:cs="Times New Roman"/>
                <w:b/>
                <w:bCs/>
                <w:color w:val="000000"/>
                <w:sz w:val="22"/>
              </w:rPr>
              <w:t>INV</w:t>
            </w:r>
          </w:p>
        </w:tc>
        <w:tc>
          <w:tcPr>
            <w:tcW w:w="5219" w:type="dxa"/>
            <w:shd w:val="clear" w:color="auto" w:fill="F4B083" w:themeFill="accent2" w:themeFillTint="99"/>
            <w:noWrap/>
            <w:vAlign w:val="center"/>
            <w:hideMark/>
          </w:tcPr>
          <w:p w14:paraId="40CB440C" w14:textId="77777777" w:rsidR="00B93745" w:rsidRPr="00B93745" w:rsidRDefault="00B93745" w:rsidP="008B31A5">
            <w:pPr>
              <w:jc w:val="both"/>
              <w:rPr>
                <w:rFonts w:ascii="Calibri" w:eastAsia="Times New Roman" w:hAnsi="Calibri" w:cs="Times New Roman"/>
                <w:color w:val="000000"/>
                <w:sz w:val="22"/>
              </w:rPr>
            </w:pPr>
            <w:r w:rsidRPr="00B93745">
              <w:rPr>
                <w:rFonts w:ascii="Calibri" w:eastAsia="Times New Roman" w:hAnsi="Calibri" w:cs="Times New Roman"/>
                <w:color w:val="000000"/>
                <w:sz w:val="22"/>
              </w:rPr>
              <w:t>Investment</w:t>
            </w:r>
          </w:p>
        </w:tc>
      </w:tr>
      <w:tr w:rsidR="00B93745" w:rsidRPr="00B93745" w14:paraId="40973CAE" w14:textId="77777777" w:rsidTr="00496DCA">
        <w:trPr>
          <w:trHeight w:val="300"/>
          <w:jc w:val="center"/>
        </w:trPr>
        <w:tc>
          <w:tcPr>
            <w:tcW w:w="1246" w:type="dxa"/>
            <w:shd w:val="clear" w:color="auto" w:fill="C45911" w:themeFill="accent2" w:themeFillShade="BF"/>
            <w:noWrap/>
            <w:vAlign w:val="center"/>
            <w:hideMark/>
          </w:tcPr>
          <w:p w14:paraId="492D6452" w14:textId="77777777" w:rsidR="00B93745" w:rsidRPr="00B93745" w:rsidRDefault="00B93745" w:rsidP="008B31A5">
            <w:pPr>
              <w:jc w:val="both"/>
              <w:rPr>
                <w:rFonts w:ascii="Calibri" w:eastAsia="Times New Roman" w:hAnsi="Calibri" w:cs="Times New Roman"/>
                <w:b/>
                <w:bCs/>
                <w:color w:val="000000"/>
                <w:sz w:val="22"/>
              </w:rPr>
            </w:pPr>
            <w:r w:rsidRPr="00B93745">
              <w:rPr>
                <w:rFonts w:ascii="Calibri" w:eastAsia="Times New Roman" w:hAnsi="Calibri" w:cs="Times New Roman"/>
                <w:b/>
                <w:bCs/>
                <w:color w:val="000000"/>
                <w:sz w:val="22"/>
              </w:rPr>
              <w:t>SAL</w:t>
            </w:r>
          </w:p>
        </w:tc>
        <w:tc>
          <w:tcPr>
            <w:tcW w:w="5219" w:type="dxa"/>
            <w:shd w:val="clear" w:color="auto" w:fill="F4B083" w:themeFill="accent2" w:themeFillTint="99"/>
            <w:noWrap/>
            <w:vAlign w:val="center"/>
            <w:hideMark/>
          </w:tcPr>
          <w:p w14:paraId="6D6E6EA2" w14:textId="77777777" w:rsidR="00B93745" w:rsidRPr="00B93745" w:rsidRDefault="00B93745" w:rsidP="008B31A5">
            <w:pPr>
              <w:jc w:val="both"/>
              <w:rPr>
                <w:rFonts w:ascii="Calibri" w:eastAsia="Times New Roman" w:hAnsi="Calibri" w:cs="Times New Roman"/>
                <w:color w:val="000000"/>
                <w:sz w:val="22"/>
              </w:rPr>
            </w:pPr>
            <w:r w:rsidRPr="00B93745">
              <w:rPr>
                <w:rFonts w:ascii="Calibri" w:eastAsia="Times New Roman" w:hAnsi="Calibri" w:cs="Times New Roman"/>
                <w:color w:val="000000"/>
                <w:sz w:val="22"/>
              </w:rPr>
              <w:t>Salaries</w:t>
            </w:r>
          </w:p>
        </w:tc>
      </w:tr>
      <w:tr w:rsidR="00B93745" w:rsidRPr="00B93745" w14:paraId="076D9FA5" w14:textId="77777777" w:rsidTr="00496DCA">
        <w:trPr>
          <w:trHeight w:val="300"/>
          <w:jc w:val="center"/>
        </w:trPr>
        <w:tc>
          <w:tcPr>
            <w:tcW w:w="1246" w:type="dxa"/>
            <w:shd w:val="clear" w:color="auto" w:fill="C45911" w:themeFill="accent2" w:themeFillShade="BF"/>
            <w:noWrap/>
            <w:vAlign w:val="center"/>
            <w:hideMark/>
          </w:tcPr>
          <w:p w14:paraId="04FFB48F" w14:textId="77777777" w:rsidR="00B93745" w:rsidRPr="00B93745" w:rsidRDefault="00B93745" w:rsidP="008B31A5">
            <w:pPr>
              <w:jc w:val="both"/>
              <w:rPr>
                <w:rFonts w:ascii="Calibri" w:eastAsia="Times New Roman" w:hAnsi="Calibri" w:cs="Times New Roman"/>
                <w:b/>
                <w:bCs/>
                <w:color w:val="000000"/>
                <w:sz w:val="22"/>
              </w:rPr>
            </w:pPr>
            <w:r w:rsidRPr="00B93745">
              <w:rPr>
                <w:rFonts w:ascii="Calibri" w:eastAsia="Times New Roman" w:hAnsi="Calibri" w:cs="Times New Roman"/>
                <w:b/>
                <w:bCs/>
                <w:color w:val="000000"/>
                <w:sz w:val="22"/>
              </w:rPr>
              <w:t>NYCEX</w:t>
            </w:r>
          </w:p>
        </w:tc>
        <w:tc>
          <w:tcPr>
            <w:tcW w:w="5219" w:type="dxa"/>
            <w:shd w:val="clear" w:color="auto" w:fill="F4B083" w:themeFill="accent2" w:themeFillTint="99"/>
            <w:noWrap/>
            <w:vAlign w:val="center"/>
            <w:hideMark/>
          </w:tcPr>
          <w:p w14:paraId="60BE8127" w14:textId="77777777" w:rsidR="00B93745" w:rsidRPr="00B93745" w:rsidRDefault="00B93745" w:rsidP="008B31A5">
            <w:pPr>
              <w:jc w:val="both"/>
              <w:rPr>
                <w:rFonts w:ascii="Calibri" w:eastAsia="Times New Roman" w:hAnsi="Calibri" w:cs="Times New Roman"/>
                <w:color w:val="000000"/>
                <w:sz w:val="22"/>
              </w:rPr>
            </w:pPr>
            <w:r w:rsidRPr="00B93745">
              <w:rPr>
                <w:rFonts w:ascii="Calibri" w:eastAsia="Times New Roman" w:hAnsi="Calibri" w:cs="Times New Roman"/>
                <w:color w:val="000000"/>
                <w:sz w:val="22"/>
              </w:rPr>
              <w:t>Not Yet Classified Spending</w:t>
            </w:r>
          </w:p>
        </w:tc>
      </w:tr>
      <w:tr w:rsidR="00B93745" w:rsidRPr="00B93745" w14:paraId="65DE23A7" w14:textId="77777777" w:rsidTr="00496DCA">
        <w:trPr>
          <w:trHeight w:val="300"/>
          <w:jc w:val="center"/>
        </w:trPr>
        <w:tc>
          <w:tcPr>
            <w:tcW w:w="1246" w:type="dxa"/>
            <w:shd w:val="clear" w:color="auto" w:fill="C45911" w:themeFill="accent2" w:themeFillShade="BF"/>
            <w:noWrap/>
            <w:vAlign w:val="center"/>
            <w:hideMark/>
          </w:tcPr>
          <w:p w14:paraId="139234B1" w14:textId="77777777" w:rsidR="00B93745" w:rsidRPr="00B93745" w:rsidRDefault="00B93745" w:rsidP="008B31A5">
            <w:pPr>
              <w:jc w:val="both"/>
              <w:rPr>
                <w:rFonts w:ascii="Calibri" w:eastAsia="Times New Roman" w:hAnsi="Calibri" w:cs="Times New Roman"/>
                <w:b/>
                <w:bCs/>
                <w:color w:val="000000"/>
                <w:sz w:val="22"/>
              </w:rPr>
            </w:pPr>
            <w:r w:rsidRPr="00B93745">
              <w:rPr>
                <w:rFonts w:ascii="Calibri" w:eastAsia="Times New Roman" w:hAnsi="Calibri" w:cs="Times New Roman"/>
                <w:b/>
                <w:bCs/>
                <w:color w:val="000000"/>
                <w:sz w:val="22"/>
              </w:rPr>
              <w:t>OTHEX</w:t>
            </w:r>
          </w:p>
        </w:tc>
        <w:tc>
          <w:tcPr>
            <w:tcW w:w="5219" w:type="dxa"/>
            <w:shd w:val="clear" w:color="auto" w:fill="F4B083" w:themeFill="accent2" w:themeFillTint="99"/>
            <w:noWrap/>
            <w:vAlign w:val="center"/>
            <w:hideMark/>
          </w:tcPr>
          <w:p w14:paraId="6AFC232B" w14:textId="77777777" w:rsidR="00B93745" w:rsidRPr="00B93745" w:rsidRDefault="00B93745" w:rsidP="008B31A5">
            <w:pPr>
              <w:jc w:val="both"/>
              <w:rPr>
                <w:rFonts w:ascii="Calibri" w:eastAsia="Times New Roman" w:hAnsi="Calibri" w:cs="Times New Roman"/>
                <w:color w:val="000000"/>
                <w:sz w:val="22"/>
              </w:rPr>
            </w:pPr>
            <w:r w:rsidRPr="00B93745">
              <w:rPr>
                <w:rFonts w:ascii="Calibri" w:eastAsia="Times New Roman" w:hAnsi="Calibri" w:cs="Times New Roman"/>
                <w:color w:val="000000"/>
                <w:sz w:val="22"/>
              </w:rPr>
              <w:t>Other Spending</w:t>
            </w:r>
          </w:p>
        </w:tc>
      </w:tr>
      <w:tr w:rsidR="00B93745" w:rsidRPr="00B93745" w14:paraId="664D1582" w14:textId="77777777" w:rsidTr="00496DCA">
        <w:trPr>
          <w:trHeight w:val="300"/>
          <w:jc w:val="center"/>
        </w:trPr>
        <w:tc>
          <w:tcPr>
            <w:tcW w:w="1246" w:type="dxa"/>
            <w:shd w:val="clear" w:color="auto" w:fill="C45911" w:themeFill="accent2" w:themeFillShade="BF"/>
            <w:noWrap/>
            <w:vAlign w:val="center"/>
            <w:hideMark/>
          </w:tcPr>
          <w:p w14:paraId="160AA167" w14:textId="77777777" w:rsidR="00B93745" w:rsidRPr="00B93745" w:rsidRDefault="00B93745" w:rsidP="008B31A5">
            <w:pPr>
              <w:jc w:val="both"/>
              <w:rPr>
                <w:rFonts w:ascii="Calibri" w:eastAsia="Times New Roman" w:hAnsi="Calibri" w:cs="Times New Roman"/>
                <w:b/>
                <w:bCs/>
                <w:color w:val="000000"/>
                <w:sz w:val="22"/>
              </w:rPr>
            </w:pPr>
            <w:r w:rsidRPr="00B93745">
              <w:rPr>
                <w:rFonts w:ascii="Calibri" w:eastAsia="Times New Roman" w:hAnsi="Calibri" w:cs="Times New Roman"/>
                <w:b/>
                <w:bCs/>
                <w:color w:val="000000"/>
                <w:sz w:val="22"/>
              </w:rPr>
              <w:t>PIDT</w:t>
            </w:r>
          </w:p>
        </w:tc>
        <w:tc>
          <w:tcPr>
            <w:tcW w:w="5219" w:type="dxa"/>
            <w:shd w:val="clear" w:color="auto" w:fill="F4B083" w:themeFill="accent2" w:themeFillTint="99"/>
            <w:noWrap/>
            <w:vAlign w:val="center"/>
            <w:hideMark/>
          </w:tcPr>
          <w:p w14:paraId="30DE96D4" w14:textId="77777777" w:rsidR="00B93745" w:rsidRPr="00B93745" w:rsidRDefault="00B93745" w:rsidP="008B31A5">
            <w:pPr>
              <w:jc w:val="both"/>
              <w:rPr>
                <w:rFonts w:ascii="Calibri" w:eastAsia="Times New Roman" w:hAnsi="Calibri" w:cs="Times New Roman"/>
                <w:color w:val="000000"/>
                <w:sz w:val="22"/>
              </w:rPr>
            </w:pPr>
            <w:r w:rsidRPr="00B93745">
              <w:rPr>
                <w:rFonts w:ascii="Calibri" w:eastAsia="Times New Roman" w:hAnsi="Calibri" w:cs="Times New Roman"/>
                <w:color w:val="000000"/>
                <w:sz w:val="22"/>
              </w:rPr>
              <w:t>Personal Income Direct Taxes</w:t>
            </w:r>
          </w:p>
        </w:tc>
      </w:tr>
      <w:tr w:rsidR="00B93745" w:rsidRPr="00B93745" w14:paraId="5D843001" w14:textId="77777777" w:rsidTr="00496DCA">
        <w:trPr>
          <w:trHeight w:val="300"/>
          <w:jc w:val="center"/>
        </w:trPr>
        <w:tc>
          <w:tcPr>
            <w:tcW w:w="1246" w:type="dxa"/>
            <w:shd w:val="clear" w:color="auto" w:fill="C45911" w:themeFill="accent2" w:themeFillShade="BF"/>
            <w:noWrap/>
            <w:vAlign w:val="center"/>
            <w:hideMark/>
          </w:tcPr>
          <w:p w14:paraId="363F1BE8" w14:textId="77777777" w:rsidR="00B93745" w:rsidRPr="00B93745" w:rsidRDefault="00B93745" w:rsidP="008B31A5">
            <w:pPr>
              <w:jc w:val="both"/>
              <w:rPr>
                <w:rFonts w:ascii="Calibri" w:eastAsia="Times New Roman" w:hAnsi="Calibri" w:cs="Times New Roman"/>
                <w:b/>
                <w:bCs/>
                <w:color w:val="000000"/>
                <w:sz w:val="22"/>
              </w:rPr>
            </w:pPr>
            <w:r w:rsidRPr="00B93745">
              <w:rPr>
                <w:rFonts w:ascii="Calibri" w:eastAsia="Times New Roman" w:hAnsi="Calibri" w:cs="Times New Roman"/>
                <w:b/>
                <w:bCs/>
                <w:color w:val="000000"/>
                <w:sz w:val="22"/>
              </w:rPr>
              <w:t>CDT</w:t>
            </w:r>
          </w:p>
        </w:tc>
        <w:tc>
          <w:tcPr>
            <w:tcW w:w="5219" w:type="dxa"/>
            <w:shd w:val="clear" w:color="auto" w:fill="F4B083" w:themeFill="accent2" w:themeFillTint="99"/>
            <w:noWrap/>
            <w:vAlign w:val="center"/>
            <w:hideMark/>
          </w:tcPr>
          <w:p w14:paraId="2E1E5A8A" w14:textId="77777777" w:rsidR="00B93745" w:rsidRPr="00B93745" w:rsidRDefault="00B93745" w:rsidP="008B31A5">
            <w:pPr>
              <w:jc w:val="both"/>
              <w:rPr>
                <w:rFonts w:ascii="Calibri" w:eastAsia="Times New Roman" w:hAnsi="Calibri" w:cs="Times New Roman"/>
                <w:color w:val="000000"/>
                <w:sz w:val="22"/>
              </w:rPr>
            </w:pPr>
            <w:r w:rsidRPr="00B93745">
              <w:rPr>
                <w:rFonts w:ascii="Calibri" w:eastAsia="Times New Roman" w:hAnsi="Calibri" w:cs="Times New Roman"/>
                <w:color w:val="000000"/>
                <w:sz w:val="22"/>
              </w:rPr>
              <w:t>Corporate Direct Taxes</w:t>
            </w:r>
          </w:p>
        </w:tc>
      </w:tr>
      <w:tr w:rsidR="00B93745" w:rsidRPr="00B93745" w14:paraId="34A23A7F" w14:textId="77777777" w:rsidTr="00496DCA">
        <w:trPr>
          <w:trHeight w:val="300"/>
          <w:jc w:val="center"/>
        </w:trPr>
        <w:tc>
          <w:tcPr>
            <w:tcW w:w="1246" w:type="dxa"/>
            <w:shd w:val="clear" w:color="auto" w:fill="C45911" w:themeFill="accent2" w:themeFillShade="BF"/>
            <w:noWrap/>
            <w:vAlign w:val="center"/>
            <w:hideMark/>
          </w:tcPr>
          <w:p w14:paraId="33328855" w14:textId="77777777" w:rsidR="00B93745" w:rsidRPr="00B93745" w:rsidRDefault="00B93745" w:rsidP="008B31A5">
            <w:pPr>
              <w:jc w:val="both"/>
              <w:rPr>
                <w:rFonts w:ascii="Calibri" w:eastAsia="Times New Roman" w:hAnsi="Calibri" w:cs="Times New Roman"/>
                <w:b/>
                <w:bCs/>
                <w:color w:val="000000"/>
                <w:sz w:val="22"/>
              </w:rPr>
            </w:pPr>
            <w:r w:rsidRPr="00B93745">
              <w:rPr>
                <w:rFonts w:ascii="Calibri" w:eastAsia="Times New Roman" w:hAnsi="Calibri" w:cs="Times New Roman"/>
                <w:b/>
                <w:bCs/>
                <w:color w:val="000000"/>
                <w:sz w:val="22"/>
              </w:rPr>
              <w:t>NYCPC</w:t>
            </w:r>
          </w:p>
        </w:tc>
        <w:tc>
          <w:tcPr>
            <w:tcW w:w="5219" w:type="dxa"/>
            <w:shd w:val="clear" w:color="auto" w:fill="F4B083" w:themeFill="accent2" w:themeFillTint="99"/>
            <w:noWrap/>
            <w:vAlign w:val="center"/>
            <w:hideMark/>
          </w:tcPr>
          <w:p w14:paraId="34A4E2EC" w14:textId="77777777" w:rsidR="00B93745" w:rsidRPr="00B93745" w:rsidRDefault="00B93745" w:rsidP="008B31A5">
            <w:pPr>
              <w:jc w:val="both"/>
              <w:rPr>
                <w:rFonts w:ascii="Calibri" w:eastAsia="Times New Roman" w:hAnsi="Calibri" w:cs="Times New Roman"/>
                <w:color w:val="000000"/>
                <w:sz w:val="22"/>
              </w:rPr>
            </w:pPr>
            <w:r w:rsidRPr="00B93745">
              <w:rPr>
                <w:rFonts w:ascii="Calibri" w:eastAsia="Times New Roman" w:hAnsi="Calibri" w:cs="Times New Roman"/>
                <w:color w:val="000000"/>
                <w:sz w:val="22"/>
              </w:rPr>
              <w:t>Not Yet Classified Corporate vs Private (Direct Taxes)</w:t>
            </w:r>
          </w:p>
        </w:tc>
      </w:tr>
      <w:tr w:rsidR="00B93745" w:rsidRPr="00B93745" w14:paraId="556C2D05" w14:textId="77777777" w:rsidTr="00496DCA">
        <w:trPr>
          <w:trHeight w:val="300"/>
          <w:jc w:val="center"/>
        </w:trPr>
        <w:tc>
          <w:tcPr>
            <w:tcW w:w="1246" w:type="dxa"/>
            <w:shd w:val="clear" w:color="auto" w:fill="C45911" w:themeFill="accent2" w:themeFillShade="BF"/>
            <w:noWrap/>
            <w:vAlign w:val="center"/>
            <w:hideMark/>
          </w:tcPr>
          <w:p w14:paraId="4EAAEDE8" w14:textId="77777777" w:rsidR="00B93745" w:rsidRPr="00B93745" w:rsidRDefault="00B93745" w:rsidP="008B31A5">
            <w:pPr>
              <w:jc w:val="both"/>
              <w:rPr>
                <w:rFonts w:ascii="Calibri" w:eastAsia="Times New Roman" w:hAnsi="Calibri" w:cs="Times New Roman"/>
                <w:b/>
                <w:bCs/>
                <w:color w:val="000000"/>
                <w:sz w:val="22"/>
              </w:rPr>
            </w:pPr>
            <w:r w:rsidRPr="00B93745">
              <w:rPr>
                <w:rFonts w:ascii="Calibri" w:eastAsia="Times New Roman" w:hAnsi="Calibri" w:cs="Times New Roman"/>
                <w:b/>
                <w:bCs/>
                <w:color w:val="000000"/>
                <w:sz w:val="22"/>
              </w:rPr>
              <w:t>INDT</w:t>
            </w:r>
          </w:p>
        </w:tc>
        <w:tc>
          <w:tcPr>
            <w:tcW w:w="5219" w:type="dxa"/>
            <w:shd w:val="clear" w:color="auto" w:fill="F4B083" w:themeFill="accent2" w:themeFillTint="99"/>
            <w:noWrap/>
            <w:vAlign w:val="center"/>
            <w:hideMark/>
          </w:tcPr>
          <w:p w14:paraId="0E75B9F9" w14:textId="77777777" w:rsidR="00B93745" w:rsidRPr="00B93745" w:rsidRDefault="00B93745" w:rsidP="008B31A5">
            <w:pPr>
              <w:jc w:val="both"/>
              <w:rPr>
                <w:rFonts w:ascii="Calibri" w:eastAsia="Times New Roman" w:hAnsi="Calibri" w:cs="Times New Roman"/>
                <w:color w:val="000000"/>
                <w:sz w:val="22"/>
              </w:rPr>
            </w:pPr>
            <w:r w:rsidRPr="00B93745">
              <w:rPr>
                <w:rFonts w:ascii="Calibri" w:eastAsia="Times New Roman" w:hAnsi="Calibri" w:cs="Times New Roman"/>
                <w:color w:val="000000"/>
                <w:sz w:val="22"/>
              </w:rPr>
              <w:t>Indirect Taxes</w:t>
            </w:r>
          </w:p>
        </w:tc>
      </w:tr>
      <w:tr w:rsidR="00B93745" w:rsidRPr="00B93745" w14:paraId="225C4008" w14:textId="77777777" w:rsidTr="00496DCA">
        <w:trPr>
          <w:trHeight w:val="300"/>
          <w:jc w:val="center"/>
        </w:trPr>
        <w:tc>
          <w:tcPr>
            <w:tcW w:w="1246" w:type="dxa"/>
            <w:shd w:val="clear" w:color="auto" w:fill="C45911" w:themeFill="accent2" w:themeFillShade="BF"/>
            <w:noWrap/>
            <w:vAlign w:val="center"/>
            <w:hideMark/>
          </w:tcPr>
          <w:p w14:paraId="3207EF0F" w14:textId="77777777" w:rsidR="00B93745" w:rsidRPr="00B93745" w:rsidRDefault="00B93745" w:rsidP="008B31A5">
            <w:pPr>
              <w:jc w:val="both"/>
              <w:rPr>
                <w:rFonts w:ascii="Calibri" w:eastAsia="Times New Roman" w:hAnsi="Calibri" w:cs="Times New Roman"/>
                <w:b/>
                <w:bCs/>
                <w:color w:val="000000"/>
                <w:sz w:val="22"/>
              </w:rPr>
            </w:pPr>
            <w:r w:rsidRPr="00B93745">
              <w:rPr>
                <w:rFonts w:ascii="Calibri" w:eastAsia="Times New Roman" w:hAnsi="Calibri" w:cs="Times New Roman"/>
                <w:b/>
                <w:bCs/>
                <w:color w:val="000000"/>
                <w:sz w:val="22"/>
              </w:rPr>
              <w:t>PROPPT</w:t>
            </w:r>
          </w:p>
        </w:tc>
        <w:tc>
          <w:tcPr>
            <w:tcW w:w="5219" w:type="dxa"/>
            <w:shd w:val="clear" w:color="auto" w:fill="F4B083" w:themeFill="accent2" w:themeFillTint="99"/>
            <w:noWrap/>
            <w:vAlign w:val="center"/>
            <w:hideMark/>
          </w:tcPr>
          <w:p w14:paraId="756AEEE8" w14:textId="77777777" w:rsidR="00B93745" w:rsidRPr="00B93745" w:rsidRDefault="00B93745" w:rsidP="008B31A5">
            <w:pPr>
              <w:jc w:val="both"/>
              <w:rPr>
                <w:rFonts w:ascii="Calibri" w:eastAsia="Times New Roman" w:hAnsi="Calibri" w:cs="Times New Roman"/>
                <w:color w:val="000000"/>
                <w:sz w:val="22"/>
              </w:rPr>
            </w:pPr>
            <w:r w:rsidRPr="00B93745">
              <w:rPr>
                <w:rFonts w:ascii="Calibri" w:eastAsia="Times New Roman" w:hAnsi="Calibri" w:cs="Times New Roman"/>
                <w:color w:val="000000"/>
                <w:sz w:val="22"/>
              </w:rPr>
              <w:t>Property Taxes - Private</w:t>
            </w:r>
          </w:p>
        </w:tc>
      </w:tr>
      <w:tr w:rsidR="00B93745" w:rsidRPr="00B93745" w14:paraId="7634D8EA" w14:textId="77777777" w:rsidTr="00496DCA">
        <w:trPr>
          <w:trHeight w:val="300"/>
          <w:jc w:val="center"/>
        </w:trPr>
        <w:tc>
          <w:tcPr>
            <w:tcW w:w="1246" w:type="dxa"/>
            <w:shd w:val="clear" w:color="auto" w:fill="C45911" w:themeFill="accent2" w:themeFillShade="BF"/>
            <w:noWrap/>
            <w:vAlign w:val="center"/>
            <w:hideMark/>
          </w:tcPr>
          <w:p w14:paraId="48112F39" w14:textId="77777777" w:rsidR="00B93745" w:rsidRPr="00B93745" w:rsidRDefault="00B93745" w:rsidP="008B31A5">
            <w:pPr>
              <w:jc w:val="both"/>
              <w:rPr>
                <w:rFonts w:ascii="Calibri" w:eastAsia="Times New Roman" w:hAnsi="Calibri" w:cs="Times New Roman"/>
                <w:b/>
                <w:bCs/>
                <w:color w:val="000000"/>
                <w:sz w:val="22"/>
              </w:rPr>
            </w:pPr>
            <w:r w:rsidRPr="00B93745">
              <w:rPr>
                <w:rFonts w:ascii="Calibri" w:eastAsia="Times New Roman" w:hAnsi="Calibri" w:cs="Times New Roman"/>
                <w:b/>
                <w:bCs/>
                <w:color w:val="000000"/>
                <w:sz w:val="22"/>
              </w:rPr>
              <w:t>PROPCP</w:t>
            </w:r>
          </w:p>
        </w:tc>
        <w:tc>
          <w:tcPr>
            <w:tcW w:w="5219" w:type="dxa"/>
            <w:shd w:val="clear" w:color="auto" w:fill="F4B083" w:themeFill="accent2" w:themeFillTint="99"/>
            <w:noWrap/>
            <w:vAlign w:val="center"/>
            <w:hideMark/>
          </w:tcPr>
          <w:p w14:paraId="564D8003" w14:textId="77777777" w:rsidR="00B93745" w:rsidRPr="00B93745" w:rsidRDefault="00B93745" w:rsidP="008B31A5">
            <w:pPr>
              <w:jc w:val="both"/>
              <w:rPr>
                <w:rFonts w:ascii="Calibri" w:eastAsia="Times New Roman" w:hAnsi="Calibri" w:cs="Times New Roman"/>
                <w:color w:val="000000"/>
                <w:sz w:val="22"/>
              </w:rPr>
            </w:pPr>
            <w:r w:rsidRPr="00B93745">
              <w:rPr>
                <w:rFonts w:ascii="Calibri" w:eastAsia="Times New Roman" w:hAnsi="Calibri" w:cs="Times New Roman"/>
                <w:color w:val="000000"/>
                <w:sz w:val="22"/>
              </w:rPr>
              <w:t>Property Taxes - Corporate</w:t>
            </w:r>
          </w:p>
        </w:tc>
      </w:tr>
      <w:tr w:rsidR="00B93745" w:rsidRPr="00B93745" w14:paraId="05310C70" w14:textId="77777777" w:rsidTr="00496DCA">
        <w:trPr>
          <w:trHeight w:val="300"/>
          <w:jc w:val="center"/>
        </w:trPr>
        <w:tc>
          <w:tcPr>
            <w:tcW w:w="1246" w:type="dxa"/>
            <w:shd w:val="clear" w:color="auto" w:fill="C45911" w:themeFill="accent2" w:themeFillShade="BF"/>
            <w:noWrap/>
            <w:vAlign w:val="center"/>
            <w:hideMark/>
          </w:tcPr>
          <w:p w14:paraId="64728370" w14:textId="77777777" w:rsidR="00B93745" w:rsidRPr="00B93745" w:rsidRDefault="00B93745" w:rsidP="008B31A5">
            <w:pPr>
              <w:jc w:val="both"/>
              <w:rPr>
                <w:rFonts w:ascii="Calibri" w:eastAsia="Times New Roman" w:hAnsi="Calibri" w:cs="Times New Roman"/>
                <w:b/>
                <w:bCs/>
                <w:color w:val="000000"/>
                <w:sz w:val="22"/>
              </w:rPr>
            </w:pPr>
            <w:r w:rsidRPr="00B93745">
              <w:rPr>
                <w:rFonts w:ascii="Calibri" w:eastAsia="Times New Roman" w:hAnsi="Calibri" w:cs="Times New Roman"/>
                <w:b/>
                <w:bCs/>
                <w:color w:val="000000"/>
                <w:sz w:val="22"/>
              </w:rPr>
              <w:t>PROPNYC</w:t>
            </w:r>
          </w:p>
        </w:tc>
        <w:tc>
          <w:tcPr>
            <w:tcW w:w="5219" w:type="dxa"/>
            <w:shd w:val="clear" w:color="auto" w:fill="F4B083" w:themeFill="accent2" w:themeFillTint="99"/>
            <w:noWrap/>
            <w:vAlign w:val="center"/>
            <w:hideMark/>
          </w:tcPr>
          <w:p w14:paraId="18295866" w14:textId="77777777" w:rsidR="00B93745" w:rsidRPr="00B93745" w:rsidRDefault="00B93745" w:rsidP="008B31A5">
            <w:pPr>
              <w:jc w:val="both"/>
              <w:rPr>
                <w:rFonts w:ascii="Calibri" w:eastAsia="Times New Roman" w:hAnsi="Calibri" w:cs="Times New Roman"/>
                <w:color w:val="000000"/>
                <w:sz w:val="22"/>
              </w:rPr>
            </w:pPr>
            <w:r w:rsidRPr="00B93745">
              <w:rPr>
                <w:rFonts w:ascii="Calibri" w:eastAsia="Times New Roman" w:hAnsi="Calibri" w:cs="Times New Roman"/>
                <w:color w:val="000000"/>
                <w:sz w:val="22"/>
              </w:rPr>
              <w:t>Property Taxes - NYC Corporate vs Private</w:t>
            </w:r>
          </w:p>
        </w:tc>
      </w:tr>
      <w:tr w:rsidR="00B93745" w:rsidRPr="00B93745" w14:paraId="375C32F1" w14:textId="77777777" w:rsidTr="00496DCA">
        <w:trPr>
          <w:trHeight w:val="300"/>
          <w:jc w:val="center"/>
        </w:trPr>
        <w:tc>
          <w:tcPr>
            <w:tcW w:w="1246" w:type="dxa"/>
            <w:shd w:val="clear" w:color="auto" w:fill="C45911" w:themeFill="accent2" w:themeFillShade="BF"/>
            <w:noWrap/>
            <w:vAlign w:val="center"/>
            <w:hideMark/>
          </w:tcPr>
          <w:p w14:paraId="45B6CDD3" w14:textId="77777777" w:rsidR="00B93745" w:rsidRPr="00B93745" w:rsidRDefault="00B93745" w:rsidP="008B31A5">
            <w:pPr>
              <w:jc w:val="both"/>
              <w:rPr>
                <w:rFonts w:ascii="Calibri" w:eastAsia="Times New Roman" w:hAnsi="Calibri" w:cs="Times New Roman"/>
                <w:b/>
                <w:bCs/>
                <w:color w:val="000000"/>
                <w:sz w:val="22"/>
              </w:rPr>
            </w:pPr>
            <w:r w:rsidRPr="00B93745">
              <w:rPr>
                <w:rFonts w:ascii="Calibri" w:eastAsia="Times New Roman" w:hAnsi="Calibri" w:cs="Times New Roman"/>
                <w:b/>
                <w:bCs/>
                <w:color w:val="000000"/>
                <w:sz w:val="22"/>
              </w:rPr>
              <w:t>NYCTX</w:t>
            </w:r>
          </w:p>
        </w:tc>
        <w:tc>
          <w:tcPr>
            <w:tcW w:w="5219" w:type="dxa"/>
            <w:shd w:val="clear" w:color="auto" w:fill="F4B083" w:themeFill="accent2" w:themeFillTint="99"/>
            <w:noWrap/>
            <w:vAlign w:val="center"/>
            <w:hideMark/>
          </w:tcPr>
          <w:p w14:paraId="1102E6C8" w14:textId="77777777" w:rsidR="00B93745" w:rsidRPr="00B93745" w:rsidRDefault="00B93745" w:rsidP="008B31A5">
            <w:pPr>
              <w:jc w:val="both"/>
              <w:rPr>
                <w:rFonts w:ascii="Calibri" w:eastAsia="Times New Roman" w:hAnsi="Calibri" w:cs="Times New Roman"/>
                <w:color w:val="000000"/>
                <w:sz w:val="22"/>
              </w:rPr>
            </w:pPr>
            <w:r w:rsidRPr="00B93745">
              <w:rPr>
                <w:rFonts w:ascii="Calibri" w:eastAsia="Times New Roman" w:hAnsi="Calibri" w:cs="Times New Roman"/>
                <w:color w:val="000000"/>
                <w:sz w:val="22"/>
              </w:rPr>
              <w:t>Not Yet Classified Taxes</w:t>
            </w:r>
          </w:p>
        </w:tc>
      </w:tr>
      <w:tr w:rsidR="00B93745" w:rsidRPr="00B93745" w14:paraId="3DCCDACD" w14:textId="77777777" w:rsidTr="00496DCA">
        <w:trPr>
          <w:trHeight w:val="300"/>
          <w:jc w:val="center"/>
        </w:trPr>
        <w:tc>
          <w:tcPr>
            <w:tcW w:w="1246" w:type="dxa"/>
            <w:shd w:val="clear" w:color="auto" w:fill="C45911" w:themeFill="accent2" w:themeFillShade="BF"/>
            <w:noWrap/>
            <w:vAlign w:val="center"/>
            <w:hideMark/>
          </w:tcPr>
          <w:p w14:paraId="671B0870" w14:textId="77777777" w:rsidR="00B93745" w:rsidRPr="00B93745" w:rsidRDefault="00B93745" w:rsidP="008B31A5">
            <w:pPr>
              <w:jc w:val="both"/>
              <w:rPr>
                <w:rFonts w:ascii="Calibri" w:eastAsia="Times New Roman" w:hAnsi="Calibri" w:cs="Times New Roman"/>
                <w:b/>
                <w:bCs/>
                <w:color w:val="000000"/>
                <w:sz w:val="22"/>
              </w:rPr>
            </w:pPr>
            <w:r w:rsidRPr="00B93745">
              <w:rPr>
                <w:rFonts w:ascii="Calibri" w:eastAsia="Times New Roman" w:hAnsi="Calibri" w:cs="Times New Roman"/>
                <w:b/>
                <w:bCs/>
                <w:color w:val="000000"/>
                <w:sz w:val="22"/>
              </w:rPr>
              <w:t>OTHTX</w:t>
            </w:r>
          </w:p>
        </w:tc>
        <w:tc>
          <w:tcPr>
            <w:tcW w:w="5219" w:type="dxa"/>
            <w:shd w:val="clear" w:color="auto" w:fill="F4B083" w:themeFill="accent2" w:themeFillTint="99"/>
            <w:noWrap/>
            <w:vAlign w:val="center"/>
            <w:hideMark/>
          </w:tcPr>
          <w:p w14:paraId="131F9612" w14:textId="77777777" w:rsidR="00B93745" w:rsidRPr="00B93745" w:rsidRDefault="00B93745" w:rsidP="008B31A5">
            <w:pPr>
              <w:jc w:val="both"/>
              <w:rPr>
                <w:rFonts w:ascii="Calibri" w:eastAsia="Times New Roman" w:hAnsi="Calibri" w:cs="Times New Roman"/>
                <w:color w:val="000000"/>
                <w:sz w:val="22"/>
              </w:rPr>
            </w:pPr>
            <w:r w:rsidRPr="00B93745">
              <w:rPr>
                <w:rFonts w:ascii="Calibri" w:eastAsia="Times New Roman" w:hAnsi="Calibri" w:cs="Times New Roman"/>
                <w:color w:val="000000"/>
                <w:sz w:val="22"/>
              </w:rPr>
              <w:t>Other Taxes</w:t>
            </w:r>
          </w:p>
        </w:tc>
      </w:tr>
      <w:tr w:rsidR="00B93745" w:rsidRPr="00B93745" w14:paraId="26F246E4" w14:textId="77777777" w:rsidTr="00496DCA">
        <w:trPr>
          <w:trHeight w:val="300"/>
          <w:jc w:val="center"/>
        </w:trPr>
        <w:tc>
          <w:tcPr>
            <w:tcW w:w="1246" w:type="dxa"/>
            <w:shd w:val="clear" w:color="auto" w:fill="C45911" w:themeFill="accent2" w:themeFillShade="BF"/>
            <w:noWrap/>
            <w:vAlign w:val="center"/>
            <w:hideMark/>
          </w:tcPr>
          <w:p w14:paraId="76F2AF07" w14:textId="77777777" w:rsidR="00B93745" w:rsidRPr="00B93745" w:rsidRDefault="00B93745" w:rsidP="008B31A5">
            <w:pPr>
              <w:jc w:val="both"/>
              <w:rPr>
                <w:rFonts w:ascii="Calibri" w:eastAsia="Times New Roman" w:hAnsi="Calibri" w:cs="Times New Roman"/>
                <w:b/>
                <w:bCs/>
                <w:color w:val="000000"/>
                <w:sz w:val="22"/>
              </w:rPr>
            </w:pPr>
            <w:r w:rsidRPr="00B93745">
              <w:rPr>
                <w:rFonts w:ascii="Calibri" w:eastAsia="Times New Roman" w:hAnsi="Calibri" w:cs="Times New Roman"/>
                <w:b/>
                <w:bCs/>
                <w:color w:val="000000"/>
                <w:sz w:val="22"/>
              </w:rPr>
              <w:t>PENS</w:t>
            </w:r>
          </w:p>
        </w:tc>
        <w:tc>
          <w:tcPr>
            <w:tcW w:w="5219" w:type="dxa"/>
            <w:shd w:val="clear" w:color="auto" w:fill="F4B083" w:themeFill="accent2" w:themeFillTint="99"/>
            <w:noWrap/>
            <w:vAlign w:val="center"/>
            <w:hideMark/>
          </w:tcPr>
          <w:p w14:paraId="5731A776" w14:textId="77777777" w:rsidR="00B93745" w:rsidRPr="00B93745" w:rsidRDefault="00B93745" w:rsidP="008B31A5">
            <w:pPr>
              <w:jc w:val="both"/>
              <w:rPr>
                <w:rFonts w:ascii="Calibri" w:eastAsia="Times New Roman" w:hAnsi="Calibri" w:cs="Times New Roman"/>
                <w:color w:val="000000"/>
                <w:sz w:val="22"/>
              </w:rPr>
            </w:pPr>
            <w:r w:rsidRPr="00B93745">
              <w:rPr>
                <w:rFonts w:ascii="Calibri" w:eastAsia="Times New Roman" w:hAnsi="Calibri" w:cs="Times New Roman"/>
                <w:color w:val="000000"/>
                <w:sz w:val="22"/>
              </w:rPr>
              <w:t>Pensions</w:t>
            </w:r>
          </w:p>
        </w:tc>
      </w:tr>
      <w:tr w:rsidR="00B93745" w:rsidRPr="00B93745" w14:paraId="37CCDA0B" w14:textId="77777777" w:rsidTr="00496DCA">
        <w:trPr>
          <w:trHeight w:val="300"/>
          <w:jc w:val="center"/>
        </w:trPr>
        <w:tc>
          <w:tcPr>
            <w:tcW w:w="1246" w:type="dxa"/>
            <w:shd w:val="clear" w:color="auto" w:fill="C45911" w:themeFill="accent2" w:themeFillShade="BF"/>
            <w:noWrap/>
            <w:vAlign w:val="center"/>
            <w:hideMark/>
          </w:tcPr>
          <w:p w14:paraId="37965752" w14:textId="77777777" w:rsidR="00B93745" w:rsidRPr="00B93745" w:rsidRDefault="00B93745" w:rsidP="008B31A5">
            <w:pPr>
              <w:jc w:val="both"/>
              <w:rPr>
                <w:rFonts w:ascii="Calibri" w:eastAsia="Times New Roman" w:hAnsi="Calibri" w:cs="Times New Roman"/>
                <w:b/>
                <w:bCs/>
                <w:color w:val="000000"/>
                <w:sz w:val="22"/>
              </w:rPr>
            </w:pPr>
            <w:r w:rsidRPr="00B93745">
              <w:rPr>
                <w:rFonts w:ascii="Calibri" w:eastAsia="Times New Roman" w:hAnsi="Calibri" w:cs="Times New Roman"/>
                <w:b/>
                <w:bCs/>
                <w:color w:val="000000"/>
                <w:sz w:val="22"/>
              </w:rPr>
              <w:t>FIRSUB</w:t>
            </w:r>
          </w:p>
        </w:tc>
        <w:tc>
          <w:tcPr>
            <w:tcW w:w="5219" w:type="dxa"/>
            <w:shd w:val="clear" w:color="auto" w:fill="F4B083" w:themeFill="accent2" w:themeFillTint="99"/>
            <w:noWrap/>
            <w:vAlign w:val="center"/>
            <w:hideMark/>
          </w:tcPr>
          <w:p w14:paraId="1DA0AB00" w14:textId="77777777" w:rsidR="00B93745" w:rsidRPr="00B93745" w:rsidRDefault="00B93745" w:rsidP="008B31A5">
            <w:pPr>
              <w:jc w:val="both"/>
              <w:rPr>
                <w:rFonts w:ascii="Calibri" w:eastAsia="Times New Roman" w:hAnsi="Calibri" w:cs="Times New Roman"/>
                <w:color w:val="000000"/>
                <w:sz w:val="22"/>
              </w:rPr>
            </w:pPr>
            <w:r w:rsidRPr="00B93745">
              <w:rPr>
                <w:rFonts w:ascii="Calibri" w:eastAsia="Times New Roman" w:hAnsi="Calibri" w:cs="Times New Roman"/>
                <w:color w:val="000000"/>
                <w:sz w:val="22"/>
              </w:rPr>
              <w:t>Firm Subsidies</w:t>
            </w:r>
          </w:p>
        </w:tc>
      </w:tr>
      <w:tr w:rsidR="00B93745" w:rsidRPr="00B93745" w14:paraId="71464C76" w14:textId="77777777" w:rsidTr="00496DCA">
        <w:trPr>
          <w:trHeight w:val="300"/>
          <w:jc w:val="center"/>
        </w:trPr>
        <w:tc>
          <w:tcPr>
            <w:tcW w:w="1246" w:type="dxa"/>
            <w:shd w:val="clear" w:color="auto" w:fill="C45911" w:themeFill="accent2" w:themeFillShade="BF"/>
            <w:noWrap/>
            <w:vAlign w:val="center"/>
            <w:hideMark/>
          </w:tcPr>
          <w:p w14:paraId="48D5B6EE" w14:textId="77777777" w:rsidR="00B93745" w:rsidRPr="00B93745" w:rsidRDefault="00B93745" w:rsidP="008B31A5">
            <w:pPr>
              <w:jc w:val="both"/>
              <w:rPr>
                <w:rFonts w:ascii="Calibri" w:eastAsia="Times New Roman" w:hAnsi="Calibri" w:cs="Times New Roman"/>
                <w:b/>
                <w:bCs/>
                <w:color w:val="000000"/>
                <w:sz w:val="22"/>
              </w:rPr>
            </w:pPr>
            <w:r w:rsidRPr="00B93745">
              <w:rPr>
                <w:rFonts w:ascii="Calibri" w:eastAsia="Times New Roman" w:hAnsi="Calibri" w:cs="Times New Roman"/>
                <w:b/>
                <w:bCs/>
                <w:color w:val="000000"/>
                <w:sz w:val="22"/>
              </w:rPr>
              <w:t>FCPO</w:t>
            </w:r>
          </w:p>
        </w:tc>
        <w:tc>
          <w:tcPr>
            <w:tcW w:w="5219" w:type="dxa"/>
            <w:shd w:val="clear" w:color="auto" w:fill="F4B083" w:themeFill="accent2" w:themeFillTint="99"/>
            <w:noWrap/>
            <w:vAlign w:val="center"/>
            <w:hideMark/>
          </w:tcPr>
          <w:p w14:paraId="49D7A79F" w14:textId="77777777" w:rsidR="00B93745" w:rsidRPr="00B93745" w:rsidRDefault="00B93745" w:rsidP="008B31A5">
            <w:pPr>
              <w:jc w:val="both"/>
              <w:rPr>
                <w:rFonts w:ascii="Calibri" w:eastAsia="Times New Roman" w:hAnsi="Calibri" w:cs="Times New Roman"/>
                <w:color w:val="000000"/>
                <w:sz w:val="22"/>
              </w:rPr>
            </w:pPr>
            <w:r w:rsidRPr="00B93745">
              <w:rPr>
                <w:rFonts w:ascii="Calibri" w:eastAsia="Times New Roman" w:hAnsi="Calibri" w:cs="Times New Roman"/>
                <w:color w:val="000000"/>
                <w:sz w:val="22"/>
              </w:rPr>
              <w:t>Family and Children Policies</w:t>
            </w:r>
          </w:p>
        </w:tc>
      </w:tr>
      <w:tr w:rsidR="00B93745" w:rsidRPr="00B93745" w14:paraId="2A6885C3" w14:textId="77777777" w:rsidTr="00496DCA">
        <w:trPr>
          <w:trHeight w:val="300"/>
          <w:jc w:val="center"/>
        </w:trPr>
        <w:tc>
          <w:tcPr>
            <w:tcW w:w="1246" w:type="dxa"/>
            <w:shd w:val="clear" w:color="auto" w:fill="C45911" w:themeFill="accent2" w:themeFillShade="BF"/>
            <w:noWrap/>
            <w:vAlign w:val="center"/>
            <w:hideMark/>
          </w:tcPr>
          <w:p w14:paraId="30F03292" w14:textId="77777777" w:rsidR="00B93745" w:rsidRPr="00B93745" w:rsidRDefault="00B93745" w:rsidP="008B31A5">
            <w:pPr>
              <w:jc w:val="both"/>
              <w:rPr>
                <w:rFonts w:ascii="Calibri" w:eastAsia="Times New Roman" w:hAnsi="Calibri" w:cs="Times New Roman"/>
                <w:b/>
                <w:bCs/>
                <w:color w:val="000000"/>
                <w:sz w:val="22"/>
              </w:rPr>
            </w:pPr>
            <w:r w:rsidRPr="00B93745">
              <w:rPr>
                <w:rFonts w:ascii="Calibri" w:eastAsia="Times New Roman" w:hAnsi="Calibri" w:cs="Times New Roman"/>
                <w:b/>
                <w:bCs/>
                <w:color w:val="000000"/>
                <w:sz w:val="22"/>
              </w:rPr>
              <w:t>RD</w:t>
            </w:r>
          </w:p>
        </w:tc>
        <w:tc>
          <w:tcPr>
            <w:tcW w:w="5219" w:type="dxa"/>
            <w:shd w:val="clear" w:color="auto" w:fill="F4B083" w:themeFill="accent2" w:themeFillTint="99"/>
            <w:noWrap/>
            <w:vAlign w:val="center"/>
            <w:hideMark/>
          </w:tcPr>
          <w:p w14:paraId="09D0CD81" w14:textId="77777777" w:rsidR="00B93745" w:rsidRPr="00B93745" w:rsidRDefault="00B93745" w:rsidP="008B31A5">
            <w:pPr>
              <w:jc w:val="both"/>
              <w:rPr>
                <w:rFonts w:ascii="Calibri" w:eastAsia="Times New Roman" w:hAnsi="Calibri" w:cs="Times New Roman"/>
                <w:color w:val="000000"/>
                <w:sz w:val="22"/>
              </w:rPr>
            </w:pPr>
            <w:proofErr w:type="spellStart"/>
            <w:r w:rsidRPr="00B93745">
              <w:rPr>
                <w:rFonts w:ascii="Calibri" w:eastAsia="Times New Roman" w:hAnsi="Calibri" w:cs="Times New Roman"/>
                <w:color w:val="000000"/>
                <w:sz w:val="22"/>
              </w:rPr>
              <w:t>Research&amp;Development</w:t>
            </w:r>
            <w:proofErr w:type="spellEnd"/>
            <w:r w:rsidRPr="00B93745">
              <w:rPr>
                <w:rFonts w:ascii="Calibri" w:eastAsia="Times New Roman" w:hAnsi="Calibri" w:cs="Times New Roman"/>
                <w:color w:val="000000"/>
                <w:sz w:val="22"/>
              </w:rPr>
              <w:t xml:space="preserve"> and Firm</w:t>
            </w:r>
          </w:p>
        </w:tc>
      </w:tr>
      <w:tr w:rsidR="00B93745" w:rsidRPr="00B93745" w14:paraId="408F3643" w14:textId="77777777" w:rsidTr="00496DCA">
        <w:trPr>
          <w:trHeight w:val="300"/>
          <w:jc w:val="center"/>
        </w:trPr>
        <w:tc>
          <w:tcPr>
            <w:tcW w:w="1246" w:type="dxa"/>
            <w:shd w:val="clear" w:color="auto" w:fill="C45911" w:themeFill="accent2" w:themeFillShade="BF"/>
            <w:noWrap/>
            <w:vAlign w:val="center"/>
            <w:hideMark/>
          </w:tcPr>
          <w:p w14:paraId="06E050A7" w14:textId="77777777" w:rsidR="00B93745" w:rsidRPr="00B93745" w:rsidRDefault="00B93745" w:rsidP="008B31A5">
            <w:pPr>
              <w:jc w:val="both"/>
              <w:rPr>
                <w:rFonts w:ascii="Calibri" w:eastAsia="Times New Roman" w:hAnsi="Calibri" w:cs="Times New Roman"/>
                <w:b/>
                <w:bCs/>
                <w:color w:val="000000"/>
                <w:sz w:val="22"/>
              </w:rPr>
            </w:pPr>
            <w:r w:rsidRPr="00B93745">
              <w:rPr>
                <w:rFonts w:ascii="Calibri" w:eastAsia="Times New Roman" w:hAnsi="Calibri" w:cs="Times New Roman"/>
                <w:b/>
                <w:bCs/>
                <w:color w:val="000000"/>
                <w:sz w:val="22"/>
              </w:rPr>
              <w:t>TCDPT</w:t>
            </w:r>
          </w:p>
        </w:tc>
        <w:tc>
          <w:tcPr>
            <w:tcW w:w="5219" w:type="dxa"/>
            <w:shd w:val="clear" w:color="auto" w:fill="F4B083" w:themeFill="accent2" w:themeFillTint="99"/>
            <w:noWrap/>
            <w:vAlign w:val="center"/>
            <w:hideMark/>
          </w:tcPr>
          <w:p w14:paraId="6682BCBB" w14:textId="77777777" w:rsidR="00B93745" w:rsidRPr="00B93745" w:rsidRDefault="00B93745" w:rsidP="008B31A5">
            <w:pPr>
              <w:jc w:val="both"/>
              <w:rPr>
                <w:rFonts w:ascii="Calibri" w:eastAsia="Times New Roman" w:hAnsi="Calibri" w:cs="Times New Roman"/>
                <w:color w:val="000000"/>
                <w:sz w:val="22"/>
              </w:rPr>
            </w:pPr>
            <w:r w:rsidRPr="00B93745">
              <w:rPr>
                <w:rFonts w:ascii="Calibri" w:eastAsia="Times New Roman" w:hAnsi="Calibri" w:cs="Times New Roman"/>
                <w:color w:val="000000"/>
                <w:sz w:val="22"/>
              </w:rPr>
              <w:t>Tax Credits and Deductions - Private</w:t>
            </w:r>
          </w:p>
        </w:tc>
      </w:tr>
      <w:tr w:rsidR="00B93745" w:rsidRPr="00B93745" w14:paraId="1D19A2DB" w14:textId="77777777" w:rsidTr="00496DCA">
        <w:trPr>
          <w:trHeight w:val="300"/>
          <w:jc w:val="center"/>
        </w:trPr>
        <w:tc>
          <w:tcPr>
            <w:tcW w:w="1246" w:type="dxa"/>
            <w:shd w:val="clear" w:color="auto" w:fill="C45911" w:themeFill="accent2" w:themeFillShade="BF"/>
            <w:noWrap/>
            <w:vAlign w:val="center"/>
            <w:hideMark/>
          </w:tcPr>
          <w:p w14:paraId="51218A7F" w14:textId="77777777" w:rsidR="00B93745" w:rsidRPr="00B93745" w:rsidRDefault="00B93745" w:rsidP="008B31A5">
            <w:pPr>
              <w:jc w:val="both"/>
              <w:rPr>
                <w:rFonts w:ascii="Calibri" w:eastAsia="Times New Roman" w:hAnsi="Calibri" w:cs="Times New Roman"/>
                <w:b/>
                <w:bCs/>
                <w:color w:val="000000"/>
                <w:sz w:val="22"/>
              </w:rPr>
            </w:pPr>
            <w:r w:rsidRPr="00B93745">
              <w:rPr>
                <w:rFonts w:ascii="Calibri" w:eastAsia="Times New Roman" w:hAnsi="Calibri" w:cs="Times New Roman"/>
                <w:b/>
                <w:bCs/>
                <w:color w:val="000000"/>
                <w:sz w:val="22"/>
              </w:rPr>
              <w:t>TCDCP</w:t>
            </w:r>
          </w:p>
        </w:tc>
        <w:tc>
          <w:tcPr>
            <w:tcW w:w="5219" w:type="dxa"/>
            <w:shd w:val="clear" w:color="auto" w:fill="F4B083" w:themeFill="accent2" w:themeFillTint="99"/>
            <w:noWrap/>
            <w:vAlign w:val="center"/>
            <w:hideMark/>
          </w:tcPr>
          <w:p w14:paraId="0ECB0208" w14:textId="77777777" w:rsidR="00B93745" w:rsidRPr="00B93745" w:rsidRDefault="00B93745" w:rsidP="008B31A5">
            <w:pPr>
              <w:jc w:val="both"/>
              <w:rPr>
                <w:rFonts w:ascii="Calibri" w:eastAsia="Times New Roman" w:hAnsi="Calibri" w:cs="Times New Roman"/>
                <w:color w:val="000000"/>
                <w:sz w:val="22"/>
              </w:rPr>
            </w:pPr>
            <w:r w:rsidRPr="00B93745">
              <w:rPr>
                <w:rFonts w:ascii="Calibri" w:eastAsia="Times New Roman" w:hAnsi="Calibri" w:cs="Times New Roman"/>
                <w:color w:val="000000"/>
                <w:sz w:val="22"/>
              </w:rPr>
              <w:t>Tax Credits and Deductions - Corporate</w:t>
            </w:r>
          </w:p>
        </w:tc>
      </w:tr>
      <w:tr w:rsidR="00B93745" w:rsidRPr="00B93745" w14:paraId="2296445C" w14:textId="77777777" w:rsidTr="00496DCA">
        <w:trPr>
          <w:trHeight w:val="300"/>
          <w:jc w:val="center"/>
        </w:trPr>
        <w:tc>
          <w:tcPr>
            <w:tcW w:w="1246" w:type="dxa"/>
            <w:shd w:val="clear" w:color="auto" w:fill="C45911" w:themeFill="accent2" w:themeFillShade="BF"/>
            <w:noWrap/>
            <w:vAlign w:val="center"/>
            <w:hideMark/>
          </w:tcPr>
          <w:p w14:paraId="7B897D01" w14:textId="77777777" w:rsidR="00B93745" w:rsidRPr="00B93745" w:rsidRDefault="00B93745" w:rsidP="008B31A5">
            <w:pPr>
              <w:jc w:val="both"/>
              <w:rPr>
                <w:rFonts w:ascii="Calibri" w:eastAsia="Times New Roman" w:hAnsi="Calibri" w:cs="Times New Roman"/>
                <w:b/>
                <w:bCs/>
                <w:color w:val="000000"/>
                <w:sz w:val="22"/>
              </w:rPr>
            </w:pPr>
            <w:r w:rsidRPr="00B93745">
              <w:rPr>
                <w:rFonts w:ascii="Calibri" w:eastAsia="Times New Roman" w:hAnsi="Calibri" w:cs="Times New Roman"/>
                <w:b/>
                <w:bCs/>
                <w:color w:val="000000"/>
                <w:sz w:val="22"/>
              </w:rPr>
              <w:t>TCDNYC</w:t>
            </w:r>
          </w:p>
        </w:tc>
        <w:tc>
          <w:tcPr>
            <w:tcW w:w="5219" w:type="dxa"/>
            <w:shd w:val="clear" w:color="auto" w:fill="F4B083" w:themeFill="accent2" w:themeFillTint="99"/>
            <w:noWrap/>
            <w:vAlign w:val="center"/>
            <w:hideMark/>
          </w:tcPr>
          <w:p w14:paraId="648D7A36" w14:textId="77777777" w:rsidR="00B93745" w:rsidRPr="00B93745" w:rsidRDefault="00B93745" w:rsidP="008B31A5">
            <w:pPr>
              <w:jc w:val="both"/>
              <w:rPr>
                <w:rFonts w:ascii="Calibri" w:eastAsia="Times New Roman" w:hAnsi="Calibri" w:cs="Times New Roman"/>
                <w:color w:val="000000"/>
                <w:sz w:val="22"/>
              </w:rPr>
            </w:pPr>
            <w:r w:rsidRPr="00B93745">
              <w:rPr>
                <w:rFonts w:ascii="Calibri" w:eastAsia="Times New Roman" w:hAnsi="Calibri" w:cs="Times New Roman"/>
                <w:color w:val="000000"/>
                <w:sz w:val="22"/>
              </w:rPr>
              <w:t>Tax Credits and Deductions - NYC Corporate vs Private</w:t>
            </w:r>
          </w:p>
        </w:tc>
      </w:tr>
      <w:tr w:rsidR="00B93745" w:rsidRPr="00B93745" w14:paraId="24D2B765" w14:textId="77777777" w:rsidTr="00496DCA">
        <w:trPr>
          <w:trHeight w:val="300"/>
          <w:jc w:val="center"/>
        </w:trPr>
        <w:tc>
          <w:tcPr>
            <w:tcW w:w="1246" w:type="dxa"/>
            <w:shd w:val="clear" w:color="auto" w:fill="C45911" w:themeFill="accent2" w:themeFillShade="BF"/>
            <w:noWrap/>
            <w:vAlign w:val="center"/>
            <w:hideMark/>
          </w:tcPr>
          <w:p w14:paraId="79C92F9F" w14:textId="77777777" w:rsidR="00B93745" w:rsidRPr="00B93745" w:rsidRDefault="00B93745" w:rsidP="008B31A5">
            <w:pPr>
              <w:jc w:val="both"/>
              <w:rPr>
                <w:rFonts w:ascii="Calibri" w:eastAsia="Times New Roman" w:hAnsi="Calibri" w:cs="Times New Roman"/>
                <w:b/>
                <w:bCs/>
                <w:color w:val="000000"/>
                <w:sz w:val="22"/>
              </w:rPr>
            </w:pPr>
            <w:r w:rsidRPr="00B93745">
              <w:rPr>
                <w:rFonts w:ascii="Calibri" w:eastAsia="Times New Roman" w:hAnsi="Calibri" w:cs="Times New Roman"/>
                <w:b/>
                <w:bCs/>
                <w:color w:val="000000"/>
                <w:sz w:val="22"/>
              </w:rPr>
              <w:t>TCDIND</w:t>
            </w:r>
          </w:p>
        </w:tc>
        <w:tc>
          <w:tcPr>
            <w:tcW w:w="5219" w:type="dxa"/>
            <w:shd w:val="clear" w:color="auto" w:fill="F4B083" w:themeFill="accent2" w:themeFillTint="99"/>
            <w:noWrap/>
            <w:vAlign w:val="center"/>
            <w:hideMark/>
          </w:tcPr>
          <w:p w14:paraId="3634DB6D" w14:textId="77777777" w:rsidR="00B93745" w:rsidRPr="00B93745" w:rsidRDefault="00B93745" w:rsidP="008B31A5">
            <w:pPr>
              <w:jc w:val="both"/>
              <w:rPr>
                <w:rFonts w:ascii="Calibri" w:eastAsia="Times New Roman" w:hAnsi="Calibri" w:cs="Times New Roman"/>
                <w:color w:val="000000"/>
                <w:sz w:val="22"/>
              </w:rPr>
            </w:pPr>
            <w:r w:rsidRPr="00B93745">
              <w:rPr>
                <w:rFonts w:ascii="Calibri" w:eastAsia="Times New Roman" w:hAnsi="Calibri" w:cs="Times New Roman"/>
                <w:color w:val="000000"/>
                <w:sz w:val="22"/>
              </w:rPr>
              <w:t>Tax Credits and Deductions - Indirect</w:t>
            </w:r>
          </w:p>
        </w:tc>
      </w:tr>
      <w:tr w:rsidR="00B93745" w:rsidRPr="00B93745" w14:paraId="335D00BB" w14:textId="77777777" w:rsidTr="00496DCA">
        <w:trPr>
          <w:trHeight w:val="300"/>
          <w:jc w:val="center"/>
        </w:trPr>
        <w:tc>
          <w:tcPr>
            <w:tcW w:w="1246" w:type="dxa"/>
            <w:shd w:val="clear" w:color="auto" w:fill="C45911" w:themeFill="accent2" w:themeFillShade="BF"/>
            <w:noWrap/>
            <w:vAlign w:val="center"/>
            <w:hideMark/>
          </w:tcPr>
          <w:p w14:paraId="42D26C84" w14:textId="77777777" w:rsidR="00B93745" w:rsidRPr="00B93745" w:rsidRDefault="00B93745" w:rsidP="008B31A5">
            <w:pPr>
              <w:jc w:val="both"/>
              <w:rPr>
                <w:rFonts w:ascii="Calibri" w:eastAsia="Times New Roman" w:hAnsi="Calibri" w:cs="Times New Roman"/>
                <w:b/>
                <w:bCs/>
                <w:color w:val="000000"/>
                <w:sz w:val="22"/>
              </w:rPr>
            </w:pPr>
            <w:r w:rsidRPr="00B93745">
              <w:rPr>
                <w:rFonts w:ascii="Calibri" w:eastAsia="Times New Roman" w:hAnsi="Calibri" w:cs="Times New Roman"/>
                <w:b/>
                <w:bCs/>
                <w:color w:val="000000"/>
                <w:sz w:val="22"/>
              </w:rPr>
              <w:t>UNEM</w:t>
            </w:r>
          </w:p>
        </w:tc>
        <w:tc>
          <w:tcPr>
            <w:tcW w:w="5219" w:type="dxa"/>
            <w:shd w:val="clear" w:color="auto" w:fill="F4B083" w:themeFill="accent2" w:themeFillTint="99"/>
            <w:noWrap/>
            <w:vAlign w:val="center"/>
            <w:hideMark/>
          </w:tcPr>
          <w:p w14:paraId="1D99E117" w14:textId="77777777" w:rsidR="00B93745" w:rsidRPr="00B93745" w:rsidRDefault="00B93745" w:rsidP="008B31A5">
            <w:pPr>
              <w:jc w:val="both"/>
              <w:rPr>
                <w:rFonts w:ascii="Calibri" w:eastAsia="Times New Roman" w:hAnsi="Calibri" w:cs="Times New Roman"/>
                <w:color w:val="000000"/>
                <w:sz w:val="22"/>
              </w:rPr>
            </w:pPr>
            <w:r w:rsidRPr="00B93745">
              <w:rPr>
                <w:rFonts w:ascii="Calibri" w:eastAsia="Times New Roman" w:hAnsi="Calibri" w:cs="Times New Roman"/>
                <w:color w:val="000000"/>
                <w:sz w:val="22"/>
              </w:rPr>
              <w:t>Unemployment</w:t>
            </w:r>
          </w:p>
        </w:tc>
      </w:tr>
      <w:tr w:rsidR="00B93745" w:rsidRPr="00B93745" w14:paraId="7DB412A9" w14:textId="77777777" w:rsidTr="00496DCA">
        <w:trPr>
          <w:trHeight w:val="300"/>
          <w:jc w:val="center"/>
        </w:trPr>
        <w:tc>
          <w:tcPr>
            <w:tcW w:w="1246" w:type="dxa"/>
            <w:shd w:val="clear" w:color="auto" w:fill="C45911" w:themeFill="accent2" w:themeFillShade="BF"/>
            <w:noWrap/>
            <w:vAlign w:val="center"/>
            <w:hideMark/>
          </w:tcPr>
          <w:p w14:paraId="11F1C374" w14:textId="77777777" w:rsidR="00B93745" w:rsidRPr="00B93745" w:rsidRDefault="00B93745" w:rsidP="008B31A5">
            <w:pPr>
              <w:jc w:val="both"/>
              <w:rPr>
                <w:rFonts w:ascii="Calibri" w:eastAsia="Times New Roman" w:hAnsi="Calibri" w:cs="Times New Roman"/>
                <w:b/>
                <w:bCs/>
                <w:color w:val="000000"/>
                <w:sz w:val="22"/>
              </w:rPr>
            </w:pPr>
            <w:r w:rsidRPr="00B93745">
              <w:rPr>
                <w:rFonts w:ascii="Calibri" w:eastAsia="Times New Roman" w:hAnsi="Calibri" w:cs="Times New Roman"/>
                <w:b/>
                <w:bCs/>
                <w:color w:val="000000"/>
                <w:sz w:val="22"/>
              </w:rPr>
              <w:t>HLT</w:t>
            </w:r>
          </w:p>
        </w:tc>
        <w:tc>
          <w:tcPr>
            <w:tcW w:w="5219" w:type="dxa"/>
            <w:shd w:val="clear" w:color="auto" w:fill="F4B083" w:themeFill="accent2" w:themeFillTint="99"/>
            <w:noWrap/>
            <w:vAlign w:val="center"/>
            <w:hideMark/>
          </w:tcPr>
          <w:p w14:paraId="02E3F17E" w14:textId="77777777" w:rsidR="00B93745" w:rsidRPr="00B93745" w:rsidRDefault="00B93745" w:rsidP="008B31A5">
            <w:pPr>
              <w:jc w:val="both"/>
              <w:rPr>
                <w:rFonts w:ascii="Calibri" w:eastAsia="Times New Roman" w:hAnsi="Calibri" w:cs="Times New Roman"/>
                <w:color w:val="000000"/>
                <w:sz w:val="22"/>
              </w:rPr>
            </w:pPr>
            <w:r w:rsidRPr="00B93745">
              <w:rPr>
                <w:rFonts w:ascii="Calibri" w:eastAsia="Times New Roman" w:hAnsi="Calibri" w:cs="Times New Roman"/>
                <w:color w:val="000000"/>
                <w:sz w:val="22"/>
              </w:rPr>
              <w:t>Health Related</w:t>
            </w:r>
          </w:p>
        </w:tc>
      </w:tr>
      <w:tr w:rsidR="00B93745" w:rsidRPr="00B93745" w14:paraId="15A814D9" w14:textId="77777777" w:rsidTr="00496DCA">
        <w:trPr>
          <w:trHeight w:val="300"/>
          <w:jc w:val="center"/>
        </w:trPr>
        <w:tc>
          <w:tcPr>
            <w:tcW w:w="1246" w:type="dxa"/>
            <w:shd w:val="clear" w:color="auto" w:fill="C45911" w:themeFill="accent2" w:themeFillShade="BF"/>
            <w:noWrap/>
            <w:vAlign w:val="center"/>
            <w:hideMark/>
          </w:tcPr>
          <w:p w14:paraId="003CDDD4" w14:textId="77777777" w:rsidR="00B93745" w:rsidRPr="00B93745" w:rsidRDefault="00B93745" w:rsidP="008B31A5">
            <w:pPr>
              <w:jc w:val="both"/>
              <w:rPr>
                <w:rFonts w:ascii="Calibri" w:eastAsia="Times New Roman" w:hAnsi="Calibri" w:cs="Times New Roman"/>
                <w:b/>
                <w:bCs/>
                <w:color w:val="000000"/>
                <w:sz w:val="22"/>
              </w:rPr>
            </w:pPr>
            <w:r w:rsidRPr="00B93745">
              <w:rPr>
                <w:rFonts w:ascii="Calibri" w:eastAsia="Times New Roman" w:hAnsi="Calibri" w:cs="Times New Roman"/>
                <w:b/>
                <w:bCs/>
                <w:color w:val="000000"/>
                <w:sz w:val="22"/>
              </w:rPr>
              <w:t>OTHSS</w:t>
            </w:r>
          </w:p>
        </w:tc>
        <w:tc>
          <w:tcPr>
            <w:tcW w:w="5219" w:type="dxa"/>
            <w:shd w:val="clear" w:color="auto" w:fill="F4B083" w:themeFill="accent2" w:themeFillTint="99"/>
            <w:noWrap/>
            <w:vAlign w:val="center"/>
            <w:hideMark/>
          </w:tcPr>
          <w:p w14:paraId="3A16BEF2" w14:textId="77777777" w:rsidR="00B93745" w:rsidRPr="00B93745" w:rsidRDefault="00B93745" w:rsidP="008B31A5">
            <w:pPr>
              <w:jc w:val="both"/>
              <w:rPr>
                <w:rFonts w:ascii="Calibri" w:eastAsia="Times New Roman" w:hAnsi="Calibri" w:cs="Times New Roman"/>
                <w:color w:val="000000"/>
                <w:sz w:val="22"/>
              </w:rPr>
            </w:pPr>
            <w:r w:rsidRPr="00B93745">
              <w:rPr>
                <w:rFonts w:ascii="Calibri" w:eastAsia="Times New Roman" w:hAnsi="Calibri" w:cs="Times New Roman"/>
                <w:color w:val="000000"/>
                <w:sz w:val="22"/>
              </w:rPr>
              <w:t>Other Social Security</w:t>
            </w:r>
          </w:p>
        </w:tc>
      </w:tr>
      <w:tr w:rsidR="00B93745" w:rsidRPr="00B93745" w14:paraId="46F4C92D" w14:textId="77777777" w:rsidTr="00496DCA">
        <w:trPr>
          <w:trHeight w:val="300"/>
          <w:jc w:val="center"/>
        </w:trPr>
        <w:tc>
          <w:tcPr>
            <w:tcW w:w="1246" w:type="dxa"/>
            <w:shd w:val="clear" w:color="auto" w:fill="C45911" w:themeFill="accent2" w:themeFillShade="BF"/>
            <w:noWrap/>
            <w:vAlign w:val="center"/>
            <w:hideMark/>
          </w:tcPr>
          <w:p w14:paraId="6C347CE8" w14:textId="77777777" w:rsidR="00B93745" w:rsidRPr="00B93745" w:rsidRDefault="00B93745" w:rsidP="008B31A5">
            <w:pPr>
              <w:jc w:val="both"/>
              <w:rPr>
                <w:rFonts w:ascii="Calibri" w:eastAsia="Times New Roman" w:hAnsi="Calibri" w:cs="Times New Roman"/>
                <w:b/>
                <w:bCs/>
                <w:color w:val="000000"/>
                <w:sz w:val="22"/>
              </w:rPr>
            </w:pPr>
            <w:r w:rsidRPr="00B93745">
              <w:rPr>
                <w:rFonts w:ascii="Calibri" w:eastAsia="Times New Roman" w:hAnsi="Calibri" w:cs="Times New Roman"/>
                <w:b/>
                <w:bCs/>
                <w:color w:val="000000"/>
                <w:sz w:val="22"/>
              </w:rPr>
              <w:lastRenderedPageBreak/>
              <w:t>EDU</w:t>
            </w:r>
          </w:p>
        </w:tc>
        <w:tc>
          <w:tcPr>
            <w:tcW w:w="5219" w:type="dxa"/>
            <w:shd w:val="clear" w:color="auto" w:fill="F4B083" w:themeFill="accent2" w:themeFillTint="99"/>
            <w:noWrap/>
            <w:vAlign w:val="center"/>
            <w:hideMark/>
          </w:tcPr>
          <w:p w14:paraId="34A8B356" w14:textId="77777777" w:rsidR="00B93745" w:rsidRPr="00B93745" w:rsidRDefault="00B93745" w:rsidP="008B31A5">
            <w:pPr>
              <w:jc w:val="both"/>
              <w:rPr>
                <w:rFonts w:ascii="Calibri" w:eastAsia="Times New Roman" w:hAnsi="Calibri" w:cs="Times New Roman"/>
                <w:color w:val="000000"/>
                <w:sz w:val="22"/>
              </w:rPr>
            </w:pPr>
            <w:r w:rsidRPr="00B93745">
              <w:rPr>
                <w:rFonts w:ascii="Calibri" w:eastAsia="Times New Roman" w:hAnsi="Calibri" w:cs="Times New Roman"/>
                <w:color w:val="000000"/>
                <w:sz w:val="22"/>
              </w:rPr>
              <w:t>Education</w:t>
            </w:r>
          </w:p>
        </w:tc>
      </w:tr>
      <w:tr w:rsidR="00B93745" w:rsidRPr="00B93745" w14:paraId="6BB9C5CC" w14:textId="77777777" w:rsidTr="00496DCA">
        <w:trPr>
          <w:trHeight w:val="315"/>
          <w:jc w:val="center"/>
        </w:trPr>
        <w:tc>
          <w:tcPr>
            <w:tcW w:w="1246" w:type="dxa"/>
            <w:shd w:val="clear" w:color="auto" w:fill="C45911" w:themeFill="accent2" w:themeFillShade="BF"/>
            <w:noWrap/>
            <w:vAlign w:val="center"/>
            <w:hideMark/>
          </w:tcPr>
          <w:p w14:paraId="37D6A282" w14:textId="77777777" w:rsidR="00B93745" w:rsidRPr="00B93745" w:rsidRDefault="00B93745" w:rsidP="008B31A5">
            <w:pPr>
              <w:jc w:val="both"/>
              <w:rPr>
                <w:rFonts w:ascii="Calibri" w:eastAsia="Times New Roman" w:hAnsi="Calibri" w:cs="Times New Roman"/>
                <w:b/>
                <w:bCs/>
                <w:color w:val="000000"/>
                <w:sz w:val="22"/>
              </w:rPr>
            </w:pPr>
            <w:r w:rsidRPr="00B93745">
              <w:rPr>
                <w:rFonts w:ascii="Calibri" w:eastAsia="Times New Roman" w:hAnsi="Calibri" w:cs="Times New Roman"/>
                <w:b/>
                <w:bCs/>
                <w:color w:val="000000"/>
                <w:sz w:val="22"/>
              </w:rPr>
              <w:t>OTSUB</w:t>
            </w:r>
          </w:p>
        </w:tc>
        <w:tc>
          <w:tcPr>
            <w:tcW w:w="5219" w:type="dxa"/>
            <w:shd w:val="clear" w:color="auto" w:fill="F4B083" w:themeFill="accent2" w:themeFillTint="99"/>
            <w:noWrap/>
            <w:vAlign w:val="center"/>
            <w:hideMark/>
          </w:tcPr>
          <w:p w14:paraId="402522ED" w14:textId="77777777" w:rsidR="00B93745" w:rsidRPr="00B93745" w:rsidRDefault="00B93745" w:rsidP="008B31A5">
            <w:pPr>
              <w:jc w:val="both"/>
              <w:rPr>
                <w:rFonts w:ascii="Calibri" w:eastAsia="Times New Roman" w:hAnsi="Calibri" w:cs="Times New Roman"/>
                <w:color w:val="000000"/>
                <w:sz w:val="22"/>
              </w:rPr>
            </w:pPr>
            <w:r w:rsidRPr="00B93745">
              <w:rPr>
                <w:rFonts w:ascii="Calibri" w:eastAsia="Times New Roman" w:hAnsi="Calibri" w:cs="Times New Roman"/>
                <w:color w:val="000000"/>
                <w:sz w:val="22"/>
              </w:rPr>
              <w:t>Other Subsidies</w:t>
            </w:r>
          </w:p>
        </w:tc>
      </w:tr>
    </w:tbl>
    <w:p w14:paraId="50E60BEF" w14:textId="77777777" w:rsidR="00B93745" w:rsidRDefault="00B93745" w:rsidP="008B31A5">
      <w:pPr>
        <w:pStyle w:val="Paragrafoelenco"/>
        <w:jc w:val="both"/>
      </w:pPr>
    </w:p>
    <w:p w14:paraId="2464AE29" w14:textId="77777777" w:rsidR="008F1CE8" w:rsidRDefault="008F1CE8" w:rsidP="008B31A5">
      <w:pPr>
        <w:jc w:val="both"/>
      </w:pPr>
    </w:p>
    <w:p w14:paraId="457A28AC" w14:textId="77777777" w:rsidR="004E0B25" w:rsidRPr="0045313D" w:rsidRDefault="008F1CE8" w:rsidP="008B31A5">
      <w:pPr>
        <w:pStyle w:val="Paragrafoelenco"/>
        <w:numPr>
          <w:ilvl w:val="0"/>
          <w:numId w:val="1"/>
        </w:numPr>
        <w:jc w:val="both"/>
        <w:rPr>
          <w:b/>
          <w:sz w:val="32"/>
        </w:rPr>
      </w:pPr>
      <w:proofErr w:type="spellStart"/>
      <w:r w:rsidRPr="0045313D">
        <w:rPr>
          <w:b/>
          <w:sz w:val="32"/>
        </w:rPr>
        <w:t>InputTables</w:t>
      </w:r>
      <w:proofErr w:type="spellEnd"/>
    </w:p>
    <w:p w14:paraId="2875C6E9" w14:textId="2F64C49B" w:rsidR="00F5558F" w:rsidRDefault="008F1CE8" w:rsidP="00F5558F">
      <w:pPr>
        <w:pStyle w:val="Paragrafoelenco"/>
        <w:jc w:val="both"/>
      </w:pPr>
      <w:r>
        <w:t xml:space="preserve">This sheet aggregates/classifies the data from the previous sheet in a </w:t>
      </w:r>
      <w:r w:rsidR="00516B5A">
        <w:t>desirable way</w:t>
      </w:r>
      <w:r>
        <w:t xml:space="preserve">. </w:t>
      </w:r>
      <w:r w:rsidR="0080625E">
        <w:t>The classification table is the following</w:t>
      </w:r>
      <w:r w:rsidR="00516B5A">
        <w:t xml:space="preserve"> one</w:t>
      </w:r>
      <w:r w:rsidR="002072D9">
        <w:t>:</w:t>
      </w:r>
    </w:p>
    <w:tbl>
      <w:tblPr>
        <w:tblW w:w="6534" w:type="dxa"/>
        <w:jc w:val="center"/>
        <w:tblLook w:val="04A0" w:firstRow="1" w:lastRow="0" w:firstColumn="1" w:lastColumn="0" w:noHBand="0" w:noVBand="1"/>
      </w:tblPr>
      <w:tblGrid>
        <w:gridCol w:w="1199"/>
        <w:gridCol w:w="4260"/>
        <w:gridCol w:w="1075"/>
      </w:tblGrid>
      <w:tr w:rsidR="00131CAC" w:rsidRPr="00131CAC" w14:paraId="79B0C31D" w14:textId="77777777" w:rsidTr="00131CAC">
        <w:trPr>
          <w:trHeight w:val="315"/>
          <w:jc w:val="center"/>
        </w:trPr>
        <w:tc>
          <w:tcPr>
            <w:tcW w:w="1199"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45B22816" w14:textId="77777777" w:rsidR="00131CAC" w:rsidRPr="00131CAC" w:rsidRDefault="00131CAC" w:rsidP="008B31A5">
            <w:pPr>
              <w:spacing w:after="0" w:line="240" w:lineRule="auto"/>
              <w:jc w:val="both"/>
              <w:rPr>
                <w:rFonts w:ascii="Calibri" w:eastAsia="Times New Roman" w:hAnsi="Calibri" w:cs="Times New Roman"/>
                <w:b/>
                <w:bCs/>
                <w:color w:val="000000"/>
                <w:sz w:val="22"/>
              </w:rPr>
            </w:pPr>
            <w:r w:rsidRPr="00131CAC">
              <w:rPr>
                <w:rFonts w:ascii="Calibri" w:eastAsia="Times New Roman" w:hAnsi="Calibri" w:cs="Times New Roman"/>
                <w:b/>
                <w:bCs/>
                <w:color w:val="000000"/>
                <w:sz w:val="22"/>
              </w:rPr>
              <w:t>Tax/Spend</w:t>
            </w:r>
          </w:p>
        </w:tc>
        <w:tc>
          <w:tcPr>
            <w:tcW w:w="4260" w:type="dxa"/>
            <w:tcBorders>
              <w:top w:val="single" w:sz="8" w:space="0" w:color="auto"/>
              <w:left w:val="nil"/>
              <w:bottom w:val="single" w:sz="8" w:space="0" w:color="auto"/>
              <w:right w:val="single" w:sz="8" w:space="0" w:color="auto"/>
            </w:tcBorders>
            <w:shd w:val="clear" w:color="000000" w:fill="D9D9D9"/>
            <w:noWrap/>
            <w:vAlign w:val="center"/>
            <w:hideMark/>
          </w:tcPr>
          <w:p w14:paraId="5EB8B2A0" w14:textId="77777777" w:rsidR="00131CAC" w:rsidRPr="00131CAC" w:rsidRDefault="00131CAC" w:rsidP="008B31A5">
            <w:pPr>
              <w:spacing w:after="0" w:line="240" w:lineRule="auto"/>
              <w:jc w:val="both"/>
              <w:rPr>
                <w:rFonts w:ascii="Calibri" w:eastAsia="Times New Roman" w:hAnsi="Calibri" w:cs="Times New Roman"/>
                <w:b/>
                <w:bCs/>
                <w:color w:val="000000"/>
                <w:sz w:val="22"/>
              </w:rPr>
            </w:pPr>
            <w:r w:rsidRPr="00131CAC">
              <w:rPr>
                <w:rFonts w:ascii="Calibri" w:eastAsia="Times New Roman" w:hAnsi="Calibri" w:cs="Times New Roman"/>
                <w:b/>
                <w:bCs/>
                <w:color w:val="000000"/>
                <w:sz w:val="22"/>
              </w:rPr>
              <w:t>Real Components</w:t>
            </w:r>
          </w:p>
        </w:tc>
        <w:tc>
          <w:tcPr>
            <w:tcW w:w="1075" w:type="dxa"/>
            <w:tcBorders>
              <w:top w:val="single" w:sz="8" w:space="0" w:color="auto"/>
              <w:left w:val="nil"/>
              <w:bottom w:val="single" w:sz="8" w:space="0" w:color="auto"/>
              <w:right w:val="single" w:sz="8" w:space="0" w:color="auto"/>
            </w:tcBorders>
            <w:shd w:val="clear" w:color="000000" w:fill="D9D9D9"/>
            <w:noWrap/>
            <w:vAlign w:val="center"/>
            <w:hideMark/>
          </w:tcPr>
          <w:p w14:paraId="6EA98DC5" w14:textId="77777777" w:rsidR="00131CAC" w:rsidRPr="00131CAC" w:rsidRDefault="00131CAC" w:rsidP="008B31A5">
            <w:pPr>
              <w:spacing w:after="0" w:line="240" w:lineRule="auto"/>
              <w:jc w:val="both"/>
              <w:rPr>
                <w:rFonts w:ascii="Calibri" w:eastAsia="Times New Roman" w:hAnsi="Calibri" w:cs="Times New Roman"/>
                <w:b/>
                <w:bCs/>
                <w:color w:val="000000"/>
                <w:sz w:val="22"/>
              </w:rPr>
            </w:pPr>
            <w:r w:rsidRPr="00131CAC">
              <w:rPr>
                <w:rFonts w:ascii="Calibri" w:eastAsia="Times New Roman" w:hAnsi="Calibri" w:cs="Times New Roman"/>
                <w:b/>
                <w:bCs/>
                <w:color w:val="000000"/>
                <w:sz w:val="22"/>
              </w:rPr>
              <w:t>Category</w:t>
            </w:r>
          </w:p>
        </w:tc>
      </w:tr>
      <w:tr w:rsidR="00131CAC" w:rsidRPr="00131CAC" w14:paraId="3B84D607" w14:textId="77777777" w:rsidTr="00131CAC">
        <w:trPr>
          <w:trHeight w:val="315"/>
          <w:jc w:val="center"/>
        </w:trPr>
        <w:tc>
          <w:tcPr>
            <w:tcW w:w="1199" w:type="dxa"/>
            <w:vMerge w:val="restart"/>
            <w:tcBorders>
              <w:top w:val="nil"/>
              <w:left w:val="single" w:sz="8" w:space="0" w:color="auto"/>
              <w:bottom w:val="single" w:sz="8" w:space="0" w:color="000000"/>
              <w:right w:val="single" w:sz="8" w:space="0" w:color="auto"/>
            </w:tcBorders>
            <w:shd w:val="clear" w:color="000000" w:fill="F7CAAC"/>
            <w:noWrap/>
            <w:vAlign w:val="center"/>
            <w:hideMark/>
          </w:tcPr>
          <w:p w14:paraId="0D3A15D1"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Spending</w:t>
            </w:r>
          </w:p>
        </w:tc>
        <w:tc>
          <w:tcPr>
            <w:tcW w:w="4260" w:type="dxa"/>
            <w:vMerge w:val="restart"/>
            <w:tcBorders>
              <w:top w:val="nil"/>
              <w:left w:val="single" w:sz="8" w:space="0" w:color="auto"/>
              <w:bottom w:val="single" w:sz="8" w:space="0" w:color="000000"/>
              <w:right w:val="single" w:sz="8" w:space="0" w:color="auto"/>
            </w:tcBorders>
            <w:shd w:val="clear" w:color="000000" w:fill="F4B083"/>
            <w:noWrap/>
            <w:vAlign w:val="center"/>
            <w:hideMark/>
          </w:tcPr>
          <w:p w14:paraId="0863A428"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Direct Taxes</w:t>
            </w:r>
          </w:p>
        </w:tc>
        <w:tc>
          <w:tcPr>
            <w:tcW w:w="1075" w:type="dxa"/>
            <w:tcBorders>
              <w:top w:val="nil"/>
              <w:left w:val="nil"/>
              <w:bottom w:val="single" w:sz="8" w:space="0" w:color="auto"/>
              <w:right w:val="single" w:sz="8" w:space="0" w:color="auto"/>
            </w:tcBorders>
            <w:shd w:val="clear" w:color="000000" w:fill="C45911"/>
            <w:noWrap/>
            <w:vAlign w:val="center"/>
            <w:hideMark/>
          </w:tcPr>
          <w:p w14:paraId="719D52F8"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CONS</w:t>
            </w:r>
          </w:p>
        </w:tc>
      </w:tr>
      <w:tr w:rsidR="00131CAC" w:rsidRPr="00131CAC" w14:paraId="132883B1"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72138D9A"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vMerge/>
            <w:tcBorders>
              <w:top w:val="nil"/>
              <w:left w:val="single" w:sz="8" w:space="0" w:color="auto"/>
              <w:bottom w:val="single" w:sz="8" w:space="0" w:color="000000"/>
              <w:right w:val="single" w:sz="8" w:space="0" w:color="auto"/>
            </w:tcBorders>
            <w:vAlign w:val="center"/>
            <w:hideMark/>
          </w:tcPr>
          <w:p w14:paraId="732C3C96"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1075" w:type="dxa"/>
            <w:tcBorders>
              <w:top w:val="nil"/>
              <w:left w:val="nil"/>
              <w:bottom w:val="single" w:sz="8" w:space="0" w:color="auto"/>
              <w:right w:val="single" w:sz="8" w:space="0" w:color="auto"/>
            </w:tcBorders>
            <w:shd w:val="clear" w:color="000000" w:fill="C45911"/>
            <w:noWrap/>
            <w:vAlign w:val="center"/>
            <w:hideMark/>
          </w:tcPr>
          <w:p w14:paraId="031D3936"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FCPO</w:t>
            </w:r>
          </w:p>
        </w:tc>
      </w:tr>
      <w:tr w:rsidR="00131CAC" w:rsidRPr="00131CAC" w14:paraId="5B87E883"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1450E430"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vMerge/>
            <w:tcBorders>
              <w:top w:val="nil"/>
              <w:left w:val="single" w:sz="8" w:space="0" w:color="auto"/>
              <w:bottom w:val="single" w:sz="8" w:space="0" w:color="000000"/>
              <w:right w:val="single" w:sz="8" w:space="0" w:color="auto"/>
            </w:tcBorders>
            <w:vAlign w:val="center"/>
            <w:hideMark/>
          </w:tcPr>
          <w:p w14:paraId="7E4EC978"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1075" w:type="dxa"/>
            <w:tcBorders>
              <w:top w:val="nil"/>
              <w:left w:val="nil"/>
              <w:bottom w:val="single" w:sz="8" w:space="0" w:color="auto"/>
              <w:right w:val="single" w:sz="8" w:space="0" w:color="auto"/>
            </w:tcBorders>
            <w:shd w:val="clear" w:color="000000" w:fill="C45911"/>
            <w:noWrap/>
            <w:vAlign w:val="center"/>
            <w:hideMark/>
          </w:tcPr>
          <w:p w14:paraId="2F93FE1A"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FIRSUB</w:t>
            </w:r>
          </w:p>
        </w:tc>
      </w:tr>
      <w:tr w:rsidR="00131CAC" w:rsidRPr="00131CAC" w14:paraId="48DDF09A"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07EFC4DB"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vMerge/>
            <w:tcBorders>
              <w:top w:val="nil"/>
              <w:left w:val="single" w:sz="8" w:space="0" w:color="auto"/>
              <w:bottom w:val="single" w:sz="8" w:space="0" w:color="000000"/>
              <w:right w:val="single" w:sz="8" w:space="0" w:color="auto"/>
            </w:tcBorders>
            <w:vAlign w:val="center"/>
            <w:hideMark/>
          </w:tcPr>
          <w:p w14:paraId="145FC22E"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1075" w:type="dxa"/>
            <w:tcBorders>
              <w:top w:val="nil"/>
              <w:left w:val="nil"/>
              <w:bottom w:val="single" w:sz="8" w:space="0" w:color="auto"/>
              <w:right w:val="single" w:sz="8" w:space="0" w:color="auto"/>
            </w:tcBorders>
            <w:shd w:val="clear" w:color="000000" w:fill="C45911"/>
            <w:noWrap/>
            <w:vAlign w:val="center"/>
            <w:hideMark/>
          </w:tcPr>
          <w:p w14:paraId="38A9102A"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OTHSS</w:t>
            </w:r>
          </w:p>
        </w:tc>
      </w:tr>
      <w:tr w:rsidR="00131CAC" w:rsidRPr="00131CAC" w14:paraId="6513FCF7"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05641984"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vMerge/>
            <w:tcBorders>
              <w:top w:val="nil"/>
              <w:left w:val="single" w:sz="8" w:space="0" w:color="auto"/>
              <w:bottom w:val="single" w:sz="8" w:space="0" w:color="000000"/>
              <w:right w:val="single" w:sz="8" w:space="0" w:color="auto"/>
            </w:tcBorders>
            <w:vAlign w:val="center"/>
            <w:hideMark/>
          </w:tcPr>
          <w:p w14:paraId="6C33A110"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1075" w:type="dxa"/>
            <w:tcBorders>
              <w:top w:val="nil"/>
              <w:left w:val="nil"/>
              <w:bottom w:val="single" w:sz="8" w:space="0" w:color="auto"/>
              <w:right w:val="single" w:sz="8" w:space="0" w:color="auto"/>
            </w:tcBorders>
            <w:shd w:val="clear" w:color="000000" w:fill="C45911"/>
            <w:noWrap/>
            <w:vAlign w:val="center"/>
            <w:hideMark/>
          </w:tcPr>
          <w:p w14:paraId="13B6C0ED"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OTSUB</w:t>
            </w:r>
          </w:p>
        </w:tc>
      </w:tr>
      <w:tr w:rsidR="00131CAC" w:rsidRPr="00131CAC" w14:paraId="0F5A2548"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4ADC8AC3"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vMerge/>
            <w:tcBorders>
              <w:top w:val="nil"/>
              <w:left w:val="single" w:sz="8" w:space="0" w:color="auto"/>
              <w:bottom w:val="single" w:sz="8" w:space="0" w:color="000000"/>
              <w:right w:val="single" w:sz="8" w:space="0" w:color="auto"/>
            </w:tcBorders>
            <w:vAlign w:val="center"/>
            <w:hideMark/>
          </w:tcPr>
          <w:p w14:paraId="09C43E6C"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1075" w:type="dxa"/>
            <w:tcBorders>
              <w:top w:val="nil"/>
              <w:left w:val="nil"/>
              <w:bottom w:val="single" w:sz="8" w:space="0" w:color="auto"/>
              <w:right w:val="single" w:sz="8" w:space="0" w:color="auto"/>
            </w:tcBorders>
            <w:shd w:val="clear" w:color="000000" w:fill="C45911"/>
            <w:noWrap/>
            <w:vAlign w:val="center"/>
            <w:hideMark/>
          </w:tcPr>
          <w:p w14:paraId="489B7812"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RD</w:t>
            </w:r>
          </w:p>
        </w:tc>
      </w:tr>
      <w:tr w:rsidR="00131CAC" w:rsidRPr="00131CAC" w14:paraId="11B92152"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1054ED5D"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vMerge w:val="restart"/>
            <w:tcBorders>
              <w:top w:val="nil"/>
              <w:left w:val="single" w:sz="8" w:space="0" w:color="auto"/>
              <w:bottom w:val="single" w:sz="8" w:space="0" w:color="000000"/>
              <w:right w:val="single" w:sz="8" w:space="0" w:color="auto"/>
            </w:tcBorders>
            <w:shd w:val="clear" w:color="000000" w:fill="F4B083"/>
            <w:noWrap/>
            <w:vAlign w:val="center"/>
            <w:hideMark/>
          </w:tcPr>
          <w:p w14:paraId="2522B0B9"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Government Consumption and Investments</w:t>
            </w:r>
          </w:p>
        </w:tc>
        <w:tc>
          <w:tcPr>
            <w:tcW w:w="1075" w:type="dxa"/>
            <w:tcBorders>
              <w:top w:val="nil"/>
              <w:left w:val="nil"/>
              <w:bottom w:val="single" w:sz="8" w:space="0" w:color="auto"/>
              <w:right w:val="single" w:sz="8" w:space="0" w:color="auto"/>
            </w:tcBorders>
            <w:shd w:val="clear" w:color="000000" w:fill="C45911"/>
            <w:noWrap/>
            <w:vAlign w:val="center"/>
            <w:hideMark/>
          </w:tcPr>
          <w:p w14:paraId="3EE27BEE"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CONS</w:t>
            </w:r>
          </w:p>
        </w:tc>
      </w:tr>
      <w:tr w:rsidR="00131CAC" w:rsidRPr="00131CAC" w14:paraId="2D814301"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064001B0"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vMerge/>
            <w:tcBorders>
              <w:top w:val="nil"/>
              <w:left w:val="single" w:sz="8" w:space="0" w:color="auto"/>
              <w:bottom w:val="single" w:sz="8" w:space="0" w:color="000000"/>
              <w:right w:val="single" w:sz="8" w:space="0" w:color="auto"/>
            </w:tcBorders>
            <w:vAlign w:val="center"/>
            <w:hideMark/>
          </w:tcPr>
          <w:p w14:paraId="608D6792"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1075" w:type="dxa"/>
            <w:tcBorders>
              <w:top w:val="nil"/>
              <w:left w:val="nil"/>
              <w:bottom w:val="single" w:sz="8" w:space="0" w:color="auto"/>
              <w:right w:val="single" w:sz="8" w:space="0" w:color="auto"/>
            </w:tcBorders>
            <w:shd w:val="clear" w:color="000000" w:fill="C45911"/>
            <w:noWrap/>
            <w:vAlign w:val="center"/>
            <w:hideMark/>
          </w:tcPr>
          <w:p w14:paraId="2BCB3371"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INV</w:t>
            </w:r>
          </w:p>
        </w:tc>
      </w:tr>
      <w:tr w:rsidR="00131CAC" w:rsidRPr="00131CAC" w14:paraId="287A9060"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52F445BE"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vMerge/>
            <w:tcBorders>
              <w:top w:val="nil"/>
              <w:left w:val="single" w:sz="8" w:space="0" w:color="auto"/>
              <w:bottom w:val="single" w:sz="8" w:space="0" w:color="000000"/>
              <w:right w:val="single" w:sz="8" w:space="0" w:color="auto"/>
            </w:tcBorders>
            <w:vAlign w:val="center"/>
            <w:hideMark/>
          </w:tcPr>
          <w:p w14:paraId="002475B3"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1075" w:type="dxa"/>
            <w:tcBorders>
              <w:top w:val="nil"/>
              <w:left w:val="nil"/>
              <w:bottom w:val="single" w:sz="8" w:space="0" w:color="auto"/>
              <w:right w:val="single" w:sz="8" w:space="0" w:color="auto"/>
            </w:tcBorders>
            <w:shd w:val="clear" w:color="000000" w:fill="C45911"/>
            <w:noWrap/>
            <w:vAlign w:val="center"/>
            <w:hideMark/>
          </w:tcPr>
          <w:p w14:paraId="11C4082E"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SAL</w:t>
            </w:r>
          </w:p>
        </w:tc>
      </w:tr>
      <w:tr w:rsidR="00131CAC" w:rsidRPr="00131CAC" w14:paraId="1F9AB672"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0101758C"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tcBorders>
              <w:top w:val="nil"/>
              <w:left w:val="nil"/>
              <w:bottom w:val="single" w:sz="8" w:space="0" w:color="auto"/>
              <w:right w:val="single" w:sz="8" w:space="0" w:color="auto"/>
            </w:tcBorders>
            <w:shd w:val="clear" w:color="000000" w:fill="F4B083"/>
            <w:noWrap/>
            <w:vAlign w:val="center"/>
            <w:hideMark/>
          </w:tcPr>
          <w:p w14:paraId="30072A2B"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NYC Spending</w:t>
            </w:r>
          </w:p>
        </w:tc>
        <w:tc>
          <w:tcPr>
            <w:tcW w:w="1075" w:type="dxa"/>
            <w:tcBorders>
              <w:top w:val="nil"/>
              <w:left w:val="nil"/>
              <w:bottom w:val="single" w:sz="8" w:space="0" w:color="auto"/>
              <w:right w:val="single" w:sz="8" w:space="0" w:color="auto"/>
            </w:tcBorders>
            <w:shd w:val="clear" w:color="000000" w:fill="C45911"/>
            <w:noWrap/>
            <w:vAlign w:val="center"/>
            <w:hideMark/>
          </w:tcPr>
          <w:p w14:paraId="1DE970D7"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NYCEX</w:t>
            </w:r>
          </w:p>
        </w:tc>
      </w:tr>
      <w:tr w:rsidR="00131CAC" w:rsidRPr="00131CAC" w14:paraId="1F83E02B"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0D55F671"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tcBorders>
              <w:top w:val="nil"/>
              <w:left w:val="nil"/>
              <w:bottom w:val="single" w:sz="8" w:space="0" w:color="auto"/>
              <w:right w:val="single" w:sz="8" w:space="0" w:color="auto"/>
            </w:tcBorders>
            <w:shd w:val="clear" w:color="000000" w:fill="F4B083"/>
            <w:noWrap/>
            <w:vAlign w:val="center"/>
            <w:hideMark/>
          </w:tcPr>
          <w:p w14:paraId="35DBFFAA"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Other Spending</w:t>
            </w:r>
          </w:p>
        </w:tc>
        <w:tc>
          <w:tcPr>
            <w:tcW w:w="1075" w:type="dxa"/>
            <w:tcBorders>
              <w:top w:val="nil"/>
              <w:left w:val="nil"/>
              <w:bottom w:val="single" w:sz="8" w:space="0" w:color="auto"/>
              <w:right w:val="single" w:sz="8" w:space="0" w:color="auto"/>
            </w:tcBorders>
            <w:shd w:val="clear" w:color="000000" w:fill="C45911"/>
            <w:noWrap/>
            <w:vAlign w:val="center"/>
            <w:hideMark/>
          </w:tcPr>
          <w:p w14:paraId="53EBFE33"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OTHEX</w:t>
            </w:r>
          </w:p>
        </w:tc>
      </w:tr>
      <w:tr w:rsidR="00131CAC" w:rsidRPr="00131CAC" w14:paraId="04C18F57"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213B8BD8"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tcBorders>
              <w:top w:val="nil"/>
              <w:left w:val="nil"/>
              <w:bottom w:val="single" w:sz="8" w:space="0" w:color="auto"/>
              <w:right w:val="single" w:sz="8" w:space="0" w:color="auto"/>
            </w:tcBorders>
            <w:shd w:val="clear" w:color="000000" w:fill="F4B083"/>
            <w:noWrap/>
            <w:vAlign w:val="center"/>
            <w:hideMark/>
          </w:tcPr>
          <w:p w14:paraId="0470961E"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Transfers</w:t>
            </w:r>
          </w:p>
        </w:tc>
        <w:tc>
          <w:tcPr>
            <w:tcW w:w="1075" w:type="dxa"/>
            <w:tcBorders>
              <w:top w:val="nil"/>
              <w:left w:val="nil"/>
              <w:bottom w:val="single" w:sz="8" w:space="0" w:color="auto"/>
              <w:right w:val="single" w:sz="8" w:space="0" w:color="auto"/>
            </w:tcBorders>
            <w:shd w:val="clear" w:color="000000" w:fill="C45911"/>
            <w:noWrap/>
            <w:vAlign w:val="center"/>
            <w:hideMark/>
          </w:tcPr>
          <w:p w14:paraId="6E3BBCA9"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EDU</w:t>
            </w:r>
          </w:p>
        </w:tc>
      </w:tr>
      <w:tr w:rsidR="00131CAC" w:rsidRPr="00131CAC" w14:paraId="69803AF0"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10A4BE78"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vMerge w:val="restart"/>
            <w:tcBorders>
              <w:top w:val="nil"/>
              <w:left w:val="single" w:sz="8" w:space="0" w:color="auto"/>
              <w:bottom w:val="single" w:sz="8" w:space="0" w:color="000000"/>
              <w:right w:val="single" w:sz="8" w:space="0" w:color="auto"/>
            </w:tcBorders>
            <w:shd w:val="clear" w:color="000000" w:fill="F4B083"/>
            <w:noWrap/>
            <w:vAlign w:val="center"/>
            <w:hideMark/>
          </w:tcPr>
          <w:p w14:paraId="1B2BCE79"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Transfers</w:t>
            </w:r>
          </w:p>
        </w:tc>
        <w:tc>
          <w:tcPr>
            <w:tcW w:w="1075" w:type="dxa"/>
            <w:tcBorders>
              <w:top w:val="nil"/>
              <w:left w:val="nil"/>
              <w:bottom w:val="single" w:sz="8" w:space="0" w:color="auto"/>
              <w:right w:val="single" w:sz="8" w:space="0" w:color="auto"/>
            </w:tcBorders>
            <w:shd w:val="clear" w:color="000000" w:fill="C45911"/>
            <w:noWrap/>
            <w:vAlign w:val="center"/>
            <w:hideMark/>
          </w:tcPr>
          <w:p w14:paraId="7A9CB95E"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FCPO</w:t>
            </w:r>
          </w:p>
        </w:tc>
      </w:tr>
      <w:tr w:rsidR="00131CAC" w:rsidRPr="00131CAC" w14:paraId="3D108B1B"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776209B0"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vMerge/>
            <w:tcBorders>
              <w:top w:val="nil"/>
              <w:left w:val="single" w:sz="8" w:space="0" w:color="auto"/>
              <w:bottom w:val="single" w:sz="8" w:space="0" w:color="000000"/>
              <w:right w:val="single" w:sz="8" w:space="0" w:color="auto"/>
            </w:tcBorders>
            <w:vAlign w:val="center"/>
            <w:hideMark/>
          </w:tcPr>
          <w:p w14:paraId="071A927D"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1075" w:type="dxa"/>
            <w:tcBorders>
              <w:top w:val="nil"/>
              <w:left w:val="nil"/>
              <w:bottom w:val="single" w:sz="8" w:space="0" w:color="auto"/>
              <w:right w:val="single" w:sz="8" w:space="0" w:color="auto"/>
            </w:tcBorders>
            <w:shd w:val="clear" w:color="000000" w:fill="C45911"/>
            <w:noWrap/>
            <w:vAlign w:val="center"/>
            <w:hideMark/>
          </w:tcPr>
          <w:p w14:paraId="2172681B"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FIRSUB</w:t>
            </w:r>
          </w:p>
        </w:tc>
      </w:tr>
      <w:tr w:rsidR="00131CAC" w:rsidRPr="00131CAC" w14:paraId="58EC081D"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3EB56699"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vMerge/>
            <w:tcBorders>
              <w:top w:val="nil"/>
              <w:left w:val="single" w:sz="8" w:space="0" w:color="auto"/>
              <w:bottom w:val="single" w:sz="8" w:space="0" w:color="000000"/>
              <w:right w:val="single" w:sz="8" w:space="0" w:color="auto"/>
            </w:tcBorders>
            <w:vAlign w:val="center"/>
            <w:hideMark/>
          </w:tcPr>
          <w:p w14:paraId="502DC29D"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1075" w:type="dxa"/>
            <w:tcBorders>
              <w:top w:val="nil"/>
              <w:left w:val="nil"/>
              <w:bottom w:val="single" w:sz="8" w:space="0" w:color="auto"/>
              <w:right w:val="single" w:sz="8" w:space="0" w:color="auto"/>
            </w:tcBorders>
            <w:shd w:val="clear" w:color="000000" w:fill="C45911"/>
            <w:noWrap/>
            <w:vAlign w:val="center"/>
            <w:hideMark/>
          </w:tcPr>
          <w:p w14:paraId="068FE25F"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HLT</w:t>
            </w:r>
          </w:p>
        </w:tc>
      </w:tr>
      <w:tr w:rsidR="00131CAC" w:rsidRPr="00131CAC" w14:paraId="01783907"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720023D0"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vMerge/>
            <w:tcBorders>
              <w:top w:val="nil"/>
              <w:left w:val="single" w:sz="8" w:space="0" w:color="auto"/>
              <w:bottom w:val="single" w:sz="8" w:space="0" w:color="000000"/>
              <w:right w:val="single" w:sz="8" w:space="0" w:color="auto"/>
            </w:tcBorders>
            <w:vAlign w:val="center"/>
            <w:hideMark/>
          </w:tcPr>
          <w:p w14:paraId="0A6AD641"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1075" w:type="dxa"/>
            <w:tcBorders>
              <w:top w:val="nil"/>
              <w:left w:val="nil"/>
              <w:bottom w:val="single" w:sz="8" w:space="0" w:color="auto"/>
              <w:right w:val="single" w:sz="8" w:space="0" w:color="auto"/>
            </w:tcBorders>
            <w:shd w:val="clear" w:color="000000" w:fill="C45911"/>
            <w:noWrap/>
            <w:vAlign w:val="center"/>
            <w:hideMark/>
          </w:tcPr>
          <w:p w14:paraId="3FAA4079"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OTHSS</w:t>
            </w:r>
          </w:p>
        </w:tc>
      </w:tr>
      <w:tr w:rsidR="00131CAC" w:rsidRPr="00131CAC" w14:paraId="3F87BFAD"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7C307790"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vMerge/>
            <w:tcBorders>
              <w:top w:val="nil"/>
              <w:left w:val="single" w:sz="8" w:space="0" w:color="auto"/>
              <w:bottom w:val="single" w:sz="8" w:space="0" w:color="000000"/>
              <w:right w:val="single" w:sz="8" w:space="0" w:color="auto"/>
            </w:tcBorders>
            <w:vAlign w:val="center"/>
            <w:hideMark/>
          </w:tcPr>
          <w:p w14:paraId="6A67CE17"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1075" w:type="dxa"/>
            <w:tcBorders>
              <w:top w:val="nil"/>
              <w:left w:val="nil"/>
              <w:bottom w:val="single" w:sz="8" w:space="0" w:color="auto"/>
              <w:right w:val="single" w:sz="8" w:space="0" w:color="auto"/>
            </w:tcBorders>
            <w:shd w:val="clear" w:color="000000" w:fill="C45911"/>
            <w:noWrap/>
            <w:vAlign w:val="center"/>
            <w:hideMark/>
          </w:tcPr>
          <w:p w14:paraId="2B5A3A9F"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OTSUB</w:t>
            </w:r>
          </w:p>
        </w:tc>
      </w:tr>
      <w:tr w:rsidR="00131CAC" w:rsidRPr="00131CAC" w14:paraId="531F88CB"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55D1287D"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vMerge/>
            <w:tcBorders>
              <w:top w:val="nil"/>
              <w:left w:val="single" w:sz="8" w:space="0" w:color="auto"/>
              <w:bottom w:val="single" w:sz="8" w:space="0" w:color="000000"/>
              <w:right w:val="single" w:sz="8" w:space="0" w:color="auto"/>
            </w:tcBorders>
            <w:vAlign w:val="center"/>
            <w:hideMark/>
          </w:tcPr>
          <w:p w14:paraId="540B18AD"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1075" w:type="dxa"/>
            <w:tcBorders>
              <w:top w:val="nil"/>
              <w:left w:val="nil"/>
              <w:bottom w:val="single" w:sz="8" w:space="0" w:color="auto"/>
              <w:right w:val="single" w:sz="8" w:space="0" w:color="auto"/>
            </w:tcBorders>
            <w:shd w:val="clear" w:color="000000" w:fill="C45911"/>
            <w:noWrap/>
            <w:vAlign w:val="center"/>
            <w:hideMark/>
          </w:tcPr>
          <w:p w14:paraId="48BE99CF"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PENS</w:t>
            </w:r>
          </w:p>
        </w:tc>
      </w:tr>
      <w:tr w:rsidR="00131CAC" w:rsidRPr="00131CAC" w14:paraId="4700D9D1"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7BCFB17A"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vMerge/>
            <w:tcBorders>
              <w:top w:val="nil"/>
              <w:left w:val="single" w:sz="8" w:space="0" w:color="auto"/>
              <w:bottom w:val="single" w:sz="8" w:space="0" w:color="000000"/>
              <w:right w:val="single" w:sz="8" w:space="0" w:color="auto"/>
            </w:tcBorders>
            <w:vAlign w:val="center"/>
            <w:hideMark/>
          </w:tcPr>
          <w:p w14:paraId="69D89E70"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1075" w:type="dxa"/>
            <w:tcBorders>
              <w:top w:val="nil"/>
              <w:left w:val="nil"/>
              <w:bottom w:val="single" w:sz="8" w:space="0" w:color="auto"/>
              <w:right w:val="single" w:sz="8" w:space="0" w:color="auto"/>
            </w:tcBorders>
            <w:shd w:val="clear" w:color="000000" w:fill="C45911"/>
            <w:noWrap/>
            <w:vAlign w:val="center"/>
            <w:hideMark/>
          </w:tcPr>
          <w:p w14:paraId="3643181D"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RD</w:t>
            </w:r>
          </w:p>
        </w:tc>
      </w:tr>
      <w:tr w:rsidR="00131CAC" w:rsidRPr="00131CAC" w14:paraId="39865A87"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06B0F322"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vMerge/>
            <w:tcBorders>
              <w:top w:val="nil"/>
              <w:left w:val="single" w:sz="8" w:space="0" w:color="auto"/>
              <w:bottom w:val="single" w:sz="8" w:space="0" w:color="000000"/>
              <w:right w:val="single" w:sz="8" w:space="0" w:color="auto"/>
            </w:tcBorders>
            <w:vAlign w:val="center"/>
            <w:hideMark/>
          </w:tcPr>
          <w:p w14:paraId="4D6C0869"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1075" w:type="dxa"/>
            <w:tcBorders>
              <w:top w:val="nil"/>
              <w:left w:val="nil"/>
              <w:bottom w:val="single" w:sz="8" w:space="0" w:color="auto"/>
              <w:right w:val="single" w:sz="8" w:space="0" w:color="auto"/>
            </w:tcBorders>
            <w:shd w:val="clear" w:color="000000" w:fill="C45911"/>
            <w:noWrap/>
            <w:vAlign w:val="center"/>
            <w:hideMark/>
          </w:tcPr>
          <w:p w14:paraId="448B92AA"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UNEM</w:t>
            </w:r>
          </w:p>
        </w:tc>
      </w:tr>
      <w:tr w:rsidR="00131CAC" w:rsidRPr="00131CAC" w14:paraId="6E8CC97A" w14:textId="77777777" w:rsidTr="00131CAC">
        <w:trPr>
          <w:trHeight w:val="315"/>
          <w:jc w:val="center"/>
        </w:trPr>
        <w:tc>
          <w:tcPr>
            <w:tcW w:w="1199" w:type="dxa"/>
            <w:vMerge w:val="restart"/>
            <w:tcBorders>
              <w:top w:val="nil"/>
              <w:left w:val="single" w:sz="8" w:space="0" w:color="auto"/>
              <w:bottom w:val="single" w:sz="8" w:space="0" w:color="000000"/>
              <w:right w:val="single" w:sz="8" w:space="0" w:color="auto"/>
            </w:tcBorders>
            <w:shd w:val="clear" w:color="000000" w:fill="F7CAAC"/>
            <w:noWrap/>
            <w:vAlign w:val="center"/>
            <w:hideMark/>
          </w:tcPr>
          <w:p w14:paraId="724BAD8E"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Taxes</w:t>
            </w:r>
          </w:p>
        </w:tc>
        <w:tc>
          <w:tcPr>
            <w:tcW w:w="4260" w:type="dxa"/>
            <w:vMerge w:val="restart"/>
            <w:tcBorders>
              <w:top w:val="nil"/>
              <w:left w:val="single" w:sz="8" w:space="0" w:color="auto"/>
              <w:bottom w:val="single" w:sz="8" w:space="0" w:color="000000"/>
              <w:right w:val="single" w:sz="8" w:space="0" w:color="auto"/>
            </w:tcBorders>
            <w:shd w:val="clear" w:color="000000" w:fill="F4B083"/>
            <w:noWrap/>
            <w:vAlign w:val="center"/>
            <w:hideMark/>
          </w:tcPr>
          <w:p w14:paraId="5C4E097C"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Direct Taxes</w:t>
            </w:r>
          </w:p>
        </w:tc>
        <w:tc>
          <w:tcPr>
            <w:tcW w:w="1075" w:type="dxa"/>
            <w:tcBorders>
              <w:top w:val="nil"/>
              <w:left w:val="nil"/>
              <w:bottom w:val="single" w:sz="8" w:space="0" w:color="auto"/>
              <w:right w:val="single" w:sz="8" w:space="0" w:color="auto"/>
            </w:tcBorders>
            <w:shd w:val="clear" w:color="000000" w:fill="C45911"/>
            <w:noWrap/>
            <w:vAlign w:val="center"/>
            <w:hideMark/>
          </w:tcPr>
          <w:p w14:paraId="38CEBF47"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CDT</w:t>
            </w:r>
          </w:p>
        </w:tc>
      </w:tr>
      <w:tr w:rsidR="00131CAC" w:rsidRPr="00131CAC" w14:paraId="131B55D4"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2A1A407D"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vMerge/>
            <w:tcBorders>
              <w:top w:val="nil"/>
              <w:left w:val="single" w:sz="8" w:space="0" w:color="auto"/>
              <w:bottom w:val="single" w:sz="8" w:space="0" w:color="000000"/>
              <w:right w:val="single" w:sz="8" w:space="0" w:color="auto"/>
            </w:tcBorders>
            <w:vAlign w:val="center"/>
            <w:hideMark/>
          </w:tcPr>
          <w:p w14:paraId="4C28B5EE"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1075" w:type="dxa"/>
            <w:tcBorders>
              <w:top w:val="nil"/>
              <w:left w:val="nil"/>
              <w:bottom w:val="single" w:sz="8" w:space="0" w:color="auto"/>
              <w:right w:val="single" w:sz="8" w:space="0" w:color="auto"/>
            </w:tcBorders>
            <w:shd w:val="clear" w:color="000000" w:fill="C45911"/>
            <w:noWrap/>
            <w:vAlign w:val="center"/>
            <w:hideMark/>
          </w:tcPr>
          <w:p w14:paraId="50D83FFB"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INDT</w:t>
            </w:r>
          </w:p>
        </w:tc>
      </w:tr>
      <w:tr w:rsidR="00131CAC" w:rsidRPr="00131CAC" w14:paraId="1B721AEF"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1AB87119"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vMerge/>
            <w:tcBorders>
              <w:top w:val="nil"/>
              <w:left w:val="single" w:sz="8" w:space="0" w:color="auto"/>
              <w:bottom w:val="single" w:sz="8" w:space="0" w:color="000000"/>
              <w:right w:val="single" w:sz="8" w:space="0" w:color="auto"/>
            </w:tcBorders>
            <w:vAlign w:val="center"/>
            <w:hideMark/>
          </w:tcPr>
          <w:p w14:paraId="30D77FB5"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1075" w:type="dxa"/>
            <w:tcBorders>
              <w:top w:val="nil"/>
              <w:left w:val="nil"/>
              <w:bottom w:val="single" w:sz="8" w:space="0" w:color="auto"/>
              <w:right w:val="single" w:sz="8" w:space="0" w:color="auto"/>
            </w:tcBorders>
            <w:shd w:val="clear" w:color="000000" w:fill="C45911"/>
            <w:noWrap/>
            <w:vAlign w:val="center"/>
            <w:hideMark/>
          </w:tcPr>
          <w:p w14:paraId="564B225D"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NYCPC</w:t>
            </w:r>
          </w:p>
        </w:tc>
      </w:tr>
      <w:tr w:rsidR="00131CAC" w:rsidRPr="00131CAC" w14:paraId="37F72D85"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038011CD"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vMerge/>
            <w:tcBorders>
              <w:top w:val="nil"/>
              <w:left w:val="single" w:sz="8" w:space="0" w:color="auto"/>
              <w:bottom w:val="single" w:sz="8" w:space="0" w:color="000000"/>
              <w:right w:val="single" w:sz="8" w:space="0" w:color="auto"/>
            </w:tcBorders>
            <w:vAlign w:val="center"/>
            <w:hideMark/>
          </w:tcPr>
          <w:p w14:paraId="6337AA2E"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1075" w:type="dxa"/>
            <w:tcBorders>
              <w:top w:val="nil"/>
              <w:left w:val="nil"/>
              <w:bottom w:val="single" w:sz="8" w:space="0" w:color="auto"/>
              <w:right w:val="single" w:sz="8" w:space="0" w:color="auto"/>
            </w:tcBorders>
            <w:shd w:val="clear" w:color="000000" w:fill="C45911"/>
            <w:noWrap/>
            <w:vAlign w:val="center"/>
            <w:hideMark/>
          </w:tcPr>
          <w:p w14:paraId="69889634"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OTHTX</w:t>
            </w:r>
          </w:p>
        </w:tc>
      </w:tr>
      <w:tr w:rsidR="00131CAC" w:rsidRPr="00131CAC" w14:paraId="376A0B81"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209A1EFC"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vMerge/>
            <w:tcBorders>
              <w:top w:val="nil"/>
              <w:left w:val="single" w:sz="8" w:space="0" w:color="auto"/>
              <w:bottom w:val="single" w:sz="8" w:space="0" w:color="000000"/>
              <w:right w:val="single" w:sz="8" w:space="0" w:color="auto"/>
            </w:tcBorders>
            <w:vAlign w:val="center"/>
            <w:hideMark/>
          </w:tcPr>
          <w:p w14:paraId="53A370F4"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1075" w:type="dxa"/>
            <w:tcBorders>
              <w:top w:val="nil"/>
              <w:left w:val="nil"/>
              <w:bottom w:val="single" w:sz="8" w:space="0" w:color="auto"/>
              <w:right w:val="single" w:sz="8" w:space="0" w:color="auto"/>
            </w:tcBorders>
            <w:shd w:val="clear" w:color="000000" w:fill="C45911"/>
            <w:noWrap/>
            <w:vAlign w:val="center"/>
            <w:hideMark/>
          </w:tcPr>
          <w:p w14:paraId="40311E73"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PIDT</w:t>
            </w:r>
          </w:p>
        </w:tc>
      </w:tr>
      <w:tr w:rsidR="00131CAC" w:rsidRPr="00131CAC" w14:paraId="120C86CA"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7A4812A6"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vMerge/>
            <w:tcBorders>
              <w:top w:val="nil"/>
              <w:left w:val="single" w:sz="8" w:space="0" w:color="auto"/>
              <w:bottom w:val="single" w:sz="8" w:space="0" w:color="000000"/>
              <w:right w:val="single" w:sz="8" w:space="0" w:color="auto"/>
            </w:tcBorders>
            <w:vAlign w:val="center"/>
            <w:hideMark/>
          </w:tcPr>
          <w:p w14:paraId="3A0072C0"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1075" w:type="dxa"/>
            <w:tcBorders>
              <w:top w:val="nil"/>
              <w:left w:val="nil"/>
              <w:bottom w:val="single" w:sz="8" w:space="0" w:color="auto"/>
              <w:right w:val="single" w:sz="8" w:space="0" w:color="auto"/>
            </w:tcBorders>
            <w:shd w:val="clear" w:color="000000" w:fill="C45911"/>
            <w:noWrap/>
            <w:vAlign w:val="center"/>
            <w:hideMark/>
          </w:tcPr>
          <w:p w14:paraId="3E3F00BF"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PROPCP</w:t>
            </w:r>
          </w:p>
        </w:tc>
      </w:tr>
      <w:tr w:rsidR="00131CAC" w:rsidRPr="00131CAC" w14:paraId="4541E2D6"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059BC057"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vMerge/>
            <w:tcBorders>
              <w:top w:val="nil"/>
              <w:left w:val="single" w:sz="8" w:space="0" w:color="auto"/>
              <w:bottom w:val="single" w:sz="8" w:space="0" w:color="000000"/>
              <w:right w:val="single" w:sz="8" w:space="0" w:color="auto"/>
            </w:tcBorders>
            <w:vAlign w:val="center"/>
            <w:hideMark/>
          </w:tcPr>
          <w:p w14:paraId="432E6BA0"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1075" w:type="dxa"/>
            <w:tcBorders>
              <w:top w:val="nil"/>
              <w:left w:val="nil"/>
              <w:bottom w:val="single" w:sz="8" w:space="0" w:color="auto"/>
              <w:right w:val="single" w:sz="8" w:space="0" w:color="auto"/>
            </w:tcBorders>
            <w:shd w:val="clear" w:color="000000" w:fill="C45911"/>
            <w:noWrap/>
            <w:vAlign w:val="center"/>
            <w:hideMark/>
          </w:tcPr>
          <w:p w14:paraId="66E39E6E"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PROPNYC</w:t>
            </w:r>
          </w:p>
        </w:tc>
      </w:tr>
      <w:tr w:rsidR="00131CAC" w:rsidRPr="00131CAC" w14:paraId="33046B4F"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0BA815C5"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vMerge/>
            <w:tcBorders>
              <w:top w:val="nil"/>
              <w:left w:val="single" w:sz="8" w:space="0" w:color="auto"/>
              <w:bottom w:val="single" w:sz="8" w:space="0" w:color="000000"/>
              <w:right w:val="single" w:sz="8" w:space="0" w:color="auto"/>
            </w:tcBorders>
            <w:vAlign w:val="center"/>
            <w:hideMark/>
          </w:tcPr>
          <w:p w14:paraId="4A57DADE"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1075" w:type="dxa"/>
            <w:tcBorders>
              <w:top w:val="nil"/>
              <w:left w:val="nil"/>
              <w:bottom w:val="single" w:sz="8" w:space="0" w:color="auto"/>
              <w:right w:val="single" w:sz="8" w:space="0" w:color="auto"/>
            </w:tcBorders>
            <w:shd w:val="clear" w:color="000000" w:fill="C45911"/>
            <w:noWrap/>
            <w:vAlign w:val="center"/>
            <w:hideMark/>
          </w:tcPr>
          <w:p w14:paraId="2774483F"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TCDCP</w:t>
            </w:r>
          </w:p>
        </w:tc>
      </w:tr>
      <w:tr w:rsidR="00131CAC" w:rsidRPr="00131CAC" w14:paraId="252B8505"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4B95880C"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vMerge/>
            <w:tcBorders>
              <w:top w:val="nil"/>
              <w:left w:val="single" w:sz="8" w:space="0" w:color="auto"/>
              <w:bottom w:val="single" w:sz="8" w:space="0" w:color="000000"/>
              <w:right w:val="single" w:sz="8" w:space="0" w:color="auto"/>
            </w:tcBorders>
            <w:vAlign w:val="center"/>
            <w:hideMark/>
          </w:tcPr>
          <w:p w14:paraId="4290FFBD"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1075" w:type="dxa"/>
            <w:tcBorders>
              <w:top w:val="nil"/>
              <w:left w:val="nil"/>
              <w:bottom w:val="single" w:sz="8" w:space="0" w:color="auto"/>
              <w:right w:val="single" w:sz="8" w:space="0" w:color="auto"/>
            </w:tcBorders>
            <w:shd w:val="clear" w:color="000000" w:fill="C45911"/>
            <w:noWrap/>
            <w:vAlign w:val="center"/>
            <w:hideMark/>
          </w:tcPr>
          <w:p w14:paraId="4FAFC529"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TCDNYC</w:t>
            </w:r>
          </w:p>
        </w:tc>
      </w:tr>
      <w:tr w:rsidR="00131CAC" w:rsidRPr="00131CAC" w14:paraId="4160FD7E"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119AE377"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vMerge/>
            <w:tcBorders>
              <w:top w:val="nil"/>
              <w:left w:val="single" w:sz="8" w:space="0" w:color="auto"/>
              <w:bottom w:val="single" w:sz="8" w:space="0" w:color="000000"/>
              <w:right w:val="single" w:sz="8" w:space="0" w:color="auto"/>
            </w:tcBorders>
            <w:vAlign w:val="center"/>
            <w:hideMark/>
          </w:tcPr>
          <w:p w14:paraId="7E150D1D"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1075" w:type="dxa"/>
            <w:tcBorders>
              <w:top w:val="nil"/>
              <w:left w:val="nil"/>
              <w:bottom w:val="single" w:sz="8" w:space="0" w:color="auto"/>
              <w:right w:val="single" w:sz="8" w:space="0" w:color="auto"/>
            </w:tcBorders>
            <w:shd w:val="clear" w:color="000000" w:fill="C45911"/>
            <w:noWrap/>
            <w:vAlign w:val="center"/>
            <w:hideMark/>
          </w:tcPr>
          <w:p w14:paraId="08A51D48"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TCDPT</w:t>
            </w:r>
          </w:p>
        </w:tc>
      </w:tr>
      <w:tr w:rsidR="00131CAC" w:rsidRPr="00131CAC" w14:paraId="36CF43F0"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40E9964D"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vMerge w:val="restart"/>
            <w:tcBorders>
              <w:top w:val="nil"/>
              <w:left w:val="single" w:sz="8" w:space="0" w:color="auto"/>
              <w:bottom w:val="single" w:sz="8" w:space="0" w:color="000000"/>
              <w:right w:val="single" w:sz="8" w:space="0" w:color="auto"/>
            </w:tcBorders>
            <w:shd w:val="clear" w:color="000000" w:fill="F4B083"/>
            <w:noWrap/>
            <w:vAlign w:val="center"/>
            <w:hideMark/>
          </w:tcPr>
          <w:p w14:paraId="5C37E568"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Indirect Taxes</w:t>
            </w:r>
          </w:p>
        </w:tc>
        <w:tc>
          <w:tcPr>
            <w:tcW w:w="1075" w:type="dxa"/>
            <w:tcBorders>
              <w:top w:val="nil"/>
              <w:left w:val="nil"/>
              <w:bottom w:val="single" w:sz="8" w:space="0" w:color="auto"/>
              <w:right w:val="single" w:sz="8" w:space="0" w:color="auto"/>
            </w:tcBorders>
            <w:shd w:val="clear" w:color="000000" w:fill="C45911"/>
            <w:noWrap/>
            <w:vAlign w:val="center"/>
            <w:hideMark/>
          </w:tcPr>
          <w:p w14:paraId="6768B406"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INDT</w:t>
            </w:r>
          </w:p>
        </w:tc>
      </w:tr>
      <w:tr w:rsidR="00131CAC" w:rsidRPr="00131CAC" w14:paraId="39B51CF9"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486E2E65"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vMerge/>
            <w:tcBorders>
              <w:top w:val="nil"/>
              <w:left w:val="single" w:sz="8" w:space="0" w:color="auto"/>
              <w:bottom w:val="single" w:sz="8" w:space="0" w:color="000000"/>
              <w:right w:val="single" w:sz="8" w:space="0" w:color="auto"/>
            </w:tcBorders>
            <w:vAlign w:val="center"/>
            <w:hideMark/>
          </w:tcPr>
          <w:p w14:paraId="45F6BB39"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1075" w:type="dxa"/>
            <w:tcBorders>
              <w:top w:val="nil"/>
              <w:left w:val="nil"/>
              <w:bottom w:val="single" w:sz="8" w:space="0" w:color="auto"/>
              <w:right w:val="single" w:sz="8" w:space="0" w:color="auto"/>
            </w:tcBorders>
            <w:shd w:val="clear" w:color="000000" w:fill="C45911"/>
            <w:noWrap/>
            <w:vAlign w:val="center"/>
            <w:hideMark/>
          </w:tcPr>
          <w:p w14:paraId="25794E14"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TCDIND</w:t>
            </w:r>
          </w:p>
        </w:tc>
      </w:tr>
      <w:tr w:rsidR="00131CAC" w:rsidRPr="00131CAC" w14:paraId="580AE950"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74254FC6"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tcBorders>
              <w:top w:val="nil"/>
              <w:left w:val="nil"/>
              <w:bottom w:val="single" w:sz="8" w:space="0" w:color="auto"/>
              <w:right w:val="single" w:sz="8" w:space="0" w:color="auto"/>
            </w:tcBorders>
            <w:shd w:val="clear" w:color="000000" w:fill="F4B083"/>
            <w:noWrap/>
            <w:vAlign w:val="center"/>
            <w:hideMark/>
          </w:tcPr>
          <w:p w14:paraId="56725E88"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NYC Tax</w:t>
            </w:r>
          </w:p>
        </w:tc>
        <w:tc>
          <w:tcPr>
            <w:tcW w:w="1075" w:type="dxa"/>
            <w:tcBorders>
              <w:top w:val="nil"/>
              <w:left w:val="nil"/>
              <w:bottom w:val="single" w:sz="8" w:space="0" w:color="auto"/>
              <w:right w:val="single" w:sz="8" w:space="0" w:color="auto"/>
            </w:tcBorders>
            <w:shd w:val="clear" w:color="000000" w:fill="C45911"/>
            <w:noWrap/>
            <w:vAlign w:val="center"/>
            <w:hideMark/>
          </w:tcPr>
          <w:p w14:paraId="7CA16E21"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NYCTX</w:t>
            </w:r>
          </w:p>
        </w:tc>
      </w:tr>
      <w:tr w:rsidR="00131CAC" w:rsidRPr="00131CAC" w14:paraId="054CD4A5"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35A58FAF"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tcBorders>
              <w:top w:val="nil"/>
              <w:left w:val="nil"/>
              <w:bottom w:val="single" w:sz="8" w:space="0" w:color="auto"/>
              <w:right w:val="single" w:sz="8" w:space="0" w:color="auto"/>
            </w:tcBorders>
            <w:shd w:val="clear" w:color="000000" w:fill="F4B083"/>
            <w:noWrap/>
            <w:vAlign w:val="center"/>
            <w:hideMark/>
          </w:tcPr>
          <w:p w14:paraId="2B85FC73"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Other Tax</w:t>
            </w:r>
          </w:p>
        </w:tc>
        <w:tc>
          <w:tcPr>
            <w:tcW w:w="1075" w:type="dxa"/>
            <w:tcBorders>
              <w:top w:val="nil"/>
              <w:left w:val="nil"/>
              <w:bottom w:val="single" w:sz="8" w:space="0" w:color="auto"/>
              <w:right w:val="single" w:sz="8" w:space="0" w:color="auto"/>
            </w:tcBorders>
            <w:shd w:val="clear" w:color="000000" w:fill="C45911"/>
            <w:noWrap/>
            <w:vAlign w:val="center"/>
            <w:hideMark/>
          </w:tcPr>
          <w:p w14:paraId="4E329361"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OTHTX</w:t>
            </w:r>
          </w:p>
        </w:tc>
      </w:tr>
      <w:tr w:rsidR="00131CAC" w:rsidRPr="00131CAC" w14:paraId="2C6FB3CC" w14:textId="77777777" w:rsidTr="00131CAC">
        <w:trPr>
          <w:trHeight w:val="315"/>
          <w:jc w:val="center"/>
        </w:trPr>
        <w:tc>
          <w:tcPr>
            <w:tcW w:w="1199" w:type="dxa"/>
            <w:vMerge/>
            <w:tcBorders>
              <w:top w:val="nil"/>
              <w:left w:val="single" w:sz="8" w:space="0" w:color="auto"/>
              <w:bottom w:val="single" w:sz="8" w:space="0" w:color="000000"/>
              <w:right w:val="single" w:sz="8" w:space="0" w:color="auto"/>
            </w:tcBorders>
            <w:vAlign w:val="center"/>
            <w:hideMark/>
          </w:tcPr>
          <w:p w14:paraId="6F8680B3" w14:textId="77777777" w:rsidR="00131CAC" w:rsidRPr="00131CAC" w:rsidRDefault="00131CAC" w:rsidP="008B31A5">
            <w:pPr>
              <w:spacing w:after="0" w:line="240" w:lineRule="auto"/>
              <w:jc w:val="both"/>
              <w:rPr>
                <w:rFonts w:ascii="Calibri" w:eastAsia="Times New Roman" w:hAnsi="Calibri" w:cs="Times New Roman"/>
                <w:color w:val="000000"/>
                <w:sz w:val="22"/>
              </w:rPr>
            </w:pPr>
          </w:p>
        </w:tc>
        <w:tc>
          <w:tcPr>
            <w:tcW w:w="4260" w:type="dxa"/>
            <w:tcBorders>
              <w:top w:val="nil"/>
              <w:left w:val="nil"/>
              <w:bottom w:val="single" w:sz="8" w:space="0" w:color="auto"/>
              <w:right w:val="single" w:sz="8" w:space="0" w:color="auto"/>
            </w:tcBorders>
            <w:shd w:val="clear" w:color="000000" w:fill="F4B083"/>
            <w:noWrap/>
            <w:vAlign w:val="center"/>
            <w:hideMark/>
          </w:tcPr>
          <w:p w14:paraId="16044D2A"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Property Tax Private</w:t>
            </w:r>
          </w:p>
        </w:tc>
        <w:tc>
          <w:tcPr>
            <w:tcW w:w="1075" w:type="dxa"/>
            <w:tcBorders>
              <w:top w:val="nil"/>
              <w:left w:val="nil"/>
              <w:bottom w:val="single" w:sz="8" w:space="0" w:color="auto"/>
              <w:right w:val="single" w:sz="8" w:space="0" w:color="auto"/>
            </w:tcBorders>
            <w:shd w:val="clear" w:color="000000" w:fill="C45911"/>
            <w:noWrap/>
            <w:vAlign w:val="center"/>
            <w:hideMark/>
          </w:tcPr>
          <w:p w14:paraId="3E10FABB" w14:textId="77777777" w:rsidR="00131CAC" w:rsidRPr="00131CAC" w:rsidRDefault="00131CAC" w:rsidP="008B31A5">
            <w:pPr>
              <w:spacing w:after="0" w:line="240" w:lineRule="auto"/>
              <w:jc w:val="both"/>
              <w:rPr>
                <w:rFonts w:ascii="Calibri" w:eastAsia="Times New Roman" w:hAnsi="Calibri" w:cs="Times New Roman"/>
                <w:color w:val="000000"/>
                <w:sz w:val="22"/>
              </w:rPr>
            </w:pPr>
            <w:r w:rsidRPr="00131CAC">
              <w:rPr>
                <w:rFonts w:ascii="Calibri" w:eastAsia="Times New Roman" w:hAnsi="Calibri" w:cs="Times New Roman"/>
                <w:color w:val="000000"/>
                <w:sz w:val="22"/>
              </w:rPr>
              <w:t>PROPPT</w:t>
            </w:r>
          </w:p>
        </w:tc>
      </w:tr>
    </w:tbl>
    <w:p w14:paraId="5451671C" w14:textId="77777777" w:rsidR="00705787" w:rsidRDefault="00705787" w:rsidP="008B31A5">
      <w:pPr>
        <w:pStyle w:val="Paragrafoelenco"/>
        <w:jc w:val="both"/>
      </w:pPr>
    </w:p>
    <w:p w14:paraId="51ED7A62" w14:textId="77777777" w:rsidR="00705787" w:rsidRDefault="00705787" w:rsidP="008B31A5">
      <w:pPr>
        <w:pStyle w:val="Paragrafoelenco"/>
        <w:jc w:val="both"/>
      </w:pPr>
    </w:p>
    <w:p w14:paraId="1E7CD9F2" w14:textId="77777777" w:rsidR="0080625E" w:rsidRPr="0045313D" w:rsidRDefault="0080625E" w:rsidP="008B31A5">
      <w:pPr>
        <w:pStyle w:val="Paragrafoelenco"/>
        <w:numPr>
          <w:ilvl w:val="0"/>
          <w:numId w:val="1"/>
        </w:numPr>
        <w:jc w:val="both"/>
        <w:rPr>
          <w:b/>
          <w:sz w:val="32"/>
        </w:rPr>
      </w:pPr>
      <w:proofErr w:type="spellStart"/>
      <w:r w:rsidRPr="0045313D">
        <w:rPr>
          <w:b/>
          <w:sz w:val="32"/>
        </w:rPr>
        <w:t>Input</w:t>
      </w:r>
      <w:r>
        <w:rPr>
          <w:b/>
          <w:sz w:val="32"/>
        </w:rPr>
        <w:t>Country</w:t>
      </w:r>
      <w:proofErr w:type="spellEnd"/>
    </w:p>
    <w:p w14:paraId="36C1D24F" w14:textId="549465AA" w:rsidR="0080625E" w:rsidRDefault="0080625E" w:rsidP="008B31A5">
      <w:pPr>
        <w:pStyle w:val="Paragrafoelenco"/>
        <w:jc w:val="both"/>
      </w:pPr>
      <w:r>
        <w:t xml:space="preserve">This sheet contains the values that were copied from the sheet </w:t>
      </w:r>
      <w:r w:rsidR="003020C4" w:rsidRPr="003020C4">
        <w:rPr>
          <w:b/>
        </w:rPr>
        <w:t>“</w:t>
      </w:r>
      <w:proofErr w:type="spellStart"/>
      <w:r>
        <w:rPr>
          <w:b/>
        </w:rPr>
        <w:t>InputTables</w:t>
      </w:r>
      <w:proofErr w:type="spellEnd"/>
      <w:r w:rsidR="003020C4">
        <w:rPr>
          <w:b/>
        </w:rPr>
        <w:t>”</w:t>
      </w:r>
      <w:r>
        <w:rPr>
          <w:b/>
        </w:rPr>
        <w:t xml:space="preserve"> </w:t>
      </w:r>
      <w:r>
        <w:t xml:space="preserve">and inserted </w:t>
      </w:r>
      <w:r w:rsidR="00A86102">
        <w:t xml:space="preserve">using “paste special – only values”. This is done </w:t>
      </w:r>
      <w:r w:rsidR="00C54868">
        <w:t>to facilitate</w:t>
      </w:r>
      <w:r w:rsidR="00A86102">
        <w:t xml:space="preserve"> the construction of final pivot tables.</w:t>
      </w:r>
    </w:p>
    <w:p w14:paraId="44ADFFC9" w14:textId="77777777" w:rsidR="00A86102" w:rsidRPr="0045313D" w:rsidRDefault="00933735" w:rsidP="008B31A5">
      <w:pPr>
        <w:pStyle w:val="Paragrafoelenco"/>
        <w:numPr>
          <w:ilvl w:val="0"/>
          <w:numId w:val="1"/>
        </w:numPr>
        <w:jc w:val="both"/>
        <w:rPr>
          <w:b/>
          <w:sz w:val="32"/>
        </w:rPr>
      </w:pPr>
      <w:r>
        <w:rPr>
          <w:b/>
          <w:sz w:val="32"/>
        </w:rPr>
        <w:t>Country specific sheets</w:t>
      </w:r>
    </w:p>
    <w:p w14:paraId="623A88C0" w14:textId="77777777" w:rsidR="00A86102" w:rsidRDefault="00A86102" w:rsidP="008B31A5">
      <w:pPr>
        <w:pStyle w:val="Paragrafoelenco"/>
        <w:jc w:val="both"/>
      </w:pPr>
      <w:r>
        <w:t xml:space="preserve">Each sheet contains yearly entries of consolidation measure plans for years in which those plans were proposed, where one can choose an appropriate year in the </w:t>
      </w:r>
      <w:r>
        <w:rPr>
          <w:b/>
        </w:rPr>
        <w:t>Year</w:t>
      </w:r>
      <w:r>
        <w:t xml:space="preserve"> dropdown menu. </w:t>
      </w:r>
    </w:p>
    <w:p w14:paraId="7A9D1992" w14:textId="77777777" w:rsidR="00A86102" w:rsidRDefault="00A86102" w:rsidP="008B31A5">
      <w:pPr>
        <w:pStyle w:val="Paragrafoelenco"/>
        <w:jc w:val="both"/>
      </w:pPr>
      <w:r>
        <w:t>For each year</w:t>
      </w:r>
      <w:r w:rsidR="00516B5A">
        <w:t>,</w:t>
      </w:r>
      <w:r>
        <w:t xml:space="preserve"> the page aggregates the information on the consolidation plans in the following way: by </w:t>
      </w:r>
      <w:r w:rsidRPr="00A86102">
        <w:rPr>
          <w:b/>
        </w:rPr>
        <w:t>tax/spending</w:t>
      </w:r>
      <w:r>
        <w:t xml:space="preserve">, then by </w:t>
      </w:r>
      <w:r w:rsidRPr="00A86102">
        <w:rPr>
          <w:b/>
        </w:rPr>
        <w:t>real components</w:t>
      </w:r>
      <w:r>
        <w:t xml:space="preserve">, then by </w:t>
      </w:r>
      <w:r w:rsidRPr="00A86102">
        <w:rPr>
          <w:b/>
        </w:rPr>
        <w:t>singular measures</w:t>
      </w:r>
      <w:r>
        <w:rPr>
          <w:b/>
        </w:rPr>
        <w:t>,</w:t>
      </w:r>
      <w:r>
        <w:t xml:space="preserve"> with the amounts reported for the relevant years. Moreover, one can see the source used for measure identification for each </w:t>
      </w:r>
      <w:r w:rsidRPr="00A86102">
        <w:t>real component</w:t>
      </w:r>
      <w:r>
        <w:rPr>
          <w:b/>
        </w:rPr>
        <w:t xml:space="preserve"> </w:t>
      </w:r>
      <w:r>
        <w:t>measure group.</w:t>
      </w:r>
    </w:p>
    <w:p w14:paraId="77EADE7C" w14:textId="77777777" w:rsidR="003020C4" w:rsidRDefault="003020C4" w:rsidP="008B31A5">
      <w:pPr>
        <w:pStyle w:val="Paragrafoelenco"/>
        <w:jc w:val="both"/>
      </w:pPr>
    </w:p>
    <w:p w14:paraId="08664358" w14:textId="77777777" w:rsidR="003020C4" w:rsidRDefault="003020C4" w:rsidP="008B31A5">
      <w:pPr>
        <w:pStyle w:val="Paragrafoelenco"/>
        <w:jc w:val="both"/>
        <w:rPr>
          <w:b/>
          <w:sz w:val="32"/>
        </w:rPr>
      </w:pPr>
      <w:r>
        <w:rPr>
          <w:b/>
          <w:sz w:val="32"/>
        </w:rPr>
        <w:t>Notes</w:t>
      </w:r>
    </w:p>
    <w:p w14:paraId="56324A07" w14:textId="77777777" w:rsidR="003020C4" w:rsidRPr="003020C4" w:rsidRDefault="003020C4" w:rsidP="008B31A5">
      <w:pPr>
        <w:pStyle w:val="Paragrafoelenco"/>
        <w:contextualSpacing w:val="0"/>
        <w:jc w:val="both"/>
      </w:pPr>
      <w:r w:rsidRPr="003020C4">
        <w:t xml:space="preserve">The fiscal consolidation </w:t>
      </w:r>
      <w:r w:rsidRPr="003020C4">
        <w:rPr>
          <w:b/>
        </w:rPr>
        <w:t>measure amounts</w:t>
      </w:r>
      <w:r w:rsidRPr="003020C4">
        <w:t xml:space="preserve"> are presented </w:t>
      </w:r>
      <w:r w:rsidR="0037735A">
        <w:rPr>
          <w:b/>
        </w:rPr>
        <w:t>in local</w:t>
      </w:r>
      <w:r w:rsidRPr="003020C4">
        <w:rPr>
          <w:b/>
        </w:rPr>
        <w:t xml:space="preserve"> currency</w:t>
      </w:r>
      <w:r w:rsidRPr="003020C4">
        <w:t xml:space="preserve"> and not in percentages of GDP.</w:t>
      </w:r>
    </w:p>
    <w:p w14:paraId="624EDE2F" w14:textId="77777777" w:rsidR="003020C4" w:rsidRDefault="003020C4" w:rsidP="00516B5A">
      <w:pPr>
        <w:pStyle w:val="Paragrafoelenco"/>
        <w:spacing w:after="0"/>
        <w:contextualSpacing w:val="0"/>
        <w:jc w:val="both"/>
      </w:pPr>
      <w:r w:rsidRPr="003020C4">
        <w:t xml:space="preserve">If one decides to make any changes to the excel file, </w:t>
      </w:r>
      <w:r>
        <w:t>he</w:t>
      </w:r>
      <w:r w:rsidRPr="003020C4">
        <w:t xml:space="preserve"> should first change the </w:t>
      </w:r>
      <w:r>
        <w:t>numbers</w:t>
      </w:r>
      <w:r w:rsidRPr="003020C4">
        <w:t xml:space="preserve"> in the </w:t>
      </w:r>
      <w:r>
        <w:rPr>
          <w:b/>
        </w:rPr>
        <w:t>“</w:t>
      </w:r>
      <w:r w:rsidRPr="003020C4">
        <w:rPr>
          <w:b/>
        </w:rPr>
        <w:t>Input</w:t>
      </w:r>
      <w:r>
        <w:rPr>
          <w:b/>
        </w:rPr>
        <w:t>”</w:t>
      </w:r>
      <w:r w:rsidRPr="003020C4">
        <w:t xml:space="preserve"> sheet, then copy-paste the values from the sheet </w:t>
      </w:r>
      <w:r w:rsidRPr="003020C4">
        <w:rPr>
          <w:b/>
        </w:rPr>
        <w:t>“</w:t>
      </w:r>
      <w:proofErr w:type="spellStart"/>
      <w:r w:rsidRPr="003020C4">
        <w:rPr>
          <w:b/>
        </w:rPr>
        <w:t>InputTables</w:t>
      </w:r>
      <w:proofErr w:type="spellEnd"/>
      <w:r w:rsidRPr="003020C4">
        <w:rPr>
          <w:b/>
        </w:rPr>
        <w:t>”</w:t>
      </w:r>
      <w:r w:rsidRPr="003020C4">
        <w:t xml:space="preserve"> to the sheet </w:t>
      </w:r>
      <w:r w:rsidRPr="003020C4">
        <w:rPr>
          <w:b/>
        </w:rPr>
        <w:t>“</w:t>
      </w:r>
      <w:proofErr w:type="spellStart"/>
      <w:r w:rsidRPr="003020C4">
        <w:rPr>
          <w:b/>
        </w:rPr>
        <w:t>InputCountry</w:t>
      </w:r>
      <w:proofErr w:type="spellEnd"/>
      <w:r w:rsidRPr="003020C4">
        <w:rPr>
          <w:b/>
        </w:rPr>
        <w:t>”</w:t>
      </w:r>
      <w:r w:rsidRPr="003020C4">
        <w:t xml:space="preserve"> and</w:t>
      </w:r>
      <w:r>
        <w:t>,</w:t>
      </w:r>
      <w:r w:rsidRPr="003020C4">
        <w:t xml:space="preserve"> finally</w:t>
      </w:r>
      <w:r>
        <w:t>,</w:t>
      </w:r>
      <w:r w:rsidRPr="003020C4">
        <w:t xml:space="preserve"> update the pivot tables for each country</w:t>
      </w:r>
      <w:r>
        <w:t>.</w:t>
      </w:r>
    </w:p>
    <w:p w14:paraId="06AEA3A5" w14:textId="77777777" w:rsidR="005A0ABF" w:rsidRDefault="005A0ABF" w:rsidP="008B31A5">
      <w:pPr>
        <w:pStyle w:val="Paragrafoelenco"/>
        <w:spacing w:after="480"/>
        <w:jc w:val="both"/>
      </w:pPr>
    </w:p>
    <w:p w14:paraId="74C89A00" w14:textId="77777777" w:rsidR="005A0ABF" w:rsidRDefault="005A0ABF" w:rsidP="008B31A5">
      <w:pPr>
        <w:pStyle w:val="Paragrafoelenco"/>
        <w:jc w:val="both"/>
      </w:pPr>
    </w:p>
    <w:p w14:paraId="149697C4" w14:textId="2C8217D0" w:rsidR="0037735A" w:rsidRDefault="0098701B" w:rsidP="00F5558F">
      <w:pPr>
        <w:jc w:val="both"/>
      </w:pPr>
      <w:r>
        <w:br w:type="page"/>
      </w:r>
    </w:p>
    <w:p w14:paraId="185546B8" w14:textId="77777777" w:rsidR="008E081F" w:rsidRPr="002A53E1" w:rsidRDefault="008E081F" w:rsidP="008E081F">
      <w:pPr>
        <w:jc w:val="both"/>
        <w:rPr>
          <w:rFonts w:asciiTheme="majorHAnsi" w:eastAsiaTheme="majorEastAsia" w:hAnsiTheme="majorHAnsi" w:cstheme="majorBidi"/>
          <w:spacing w:val="-10"/>
          <w:kern w:val="28"/>
          <w:sz w:val="56"/>
          <w:szCs w:val="56"/>
        </w:rPr>
      </w:pPr>
      <w:r w:rsidRPr="002A53E1">
        <w:rPr>
          <w:rFonts w:asciiTheme="majorHAnsi" w:eastAsiaTheme="majorEastAsia" w:hAnsiTheme="majorHAnsi" w:cstheme="majorBidi"/>
          <w:spacing w:val="-10"/>
          <w:kern w:val="28"/>
          <w:sz w:val="56"/>
          <w:szCs w:val="56"/>
        </w:rPr>
        <w:lastRenderedPageBreak/>
        <w:t>DataStructuring.xlsx</w:t>
      </w:r>
    </w:p>
    <w:p w14:paraId="1A86B452" w14:textId="3B7C59CC" w:rsidR="008E081F" w:rsidRDefault="008E081F" w:rsidP="008E081F">
      <w:pPr>
        <w:pStyle w:val="Paragrafoelenco"/>
        <w:contextualSpacing w:val="0"/>
        <w:jc w:val="both"/>
      </w:pPr>
      <w:r>
        <w:t xml:space="preserve">This file describes the procedure of data transformation which was employed </w:t>
      </w:r>
      <w:proofErr w:type="gramStart"/>
      <w:r>
        <w:t>in order to</w:t>
      </w:r>
      <w:proofErr w:type="gramEnd"/>
      <w:r>
        <w:t xml:space="preserve"> transform the raw data of the fiscal shocks database (AppendixTables.xlsx) into the dataset used for paper results’ replication (NewComponents1978-2014_final.xlsx).</w:t>
      </w:r>
    </w:p>
    <w:p w14:paraId="3CC07F76" w14:textId="77777777" w:rsidR="008E081F" w:rsidRPr="00431E6F" w:rsidRDefault="008E081F" w:rsidP="008E081F">
      <w:pPr>
        <w:pStyle w:val="Paragrafoelenco"/>
        <w:numPr>
          <w:ilvl w:val="0"/>
          <w:numId w:val="1"/>
        </w:numPr>
        <w:contextualSpacing w:val="0"/>
        <w:jc w:val="both"/>
      </w:pPr>
      <w:r>
        <w:rPr>
          <w:b/>
          <w:sz w:val="32"/>
        </w:rPr>
        <w:t>Macro</w:t>
      </w:r>
    </w:p>
    <w:p w14:paraId="3FE6AB42" w14:textId="0F9C7CA8" w:rsidR="008E081F" w:rsidRPr="00431E6F" w:rsidRDefault="008E081F" w:rsidP="008E081F">
      <w:pPr>
        <w:pStyle w:val="Paragrafoelenco"/>
        <w:contextualSpacing w:val="0"/>
        <w:jc w:val="both"/>
      </w:pPr>
      <w:r w:rsidRPr="002A53E1">
        <w:t>This sheet contains the macroeconomic data (includin</w:t>
      </w:r>
      <w:r w:rsidR="00AC39D0">
        <w:t xml:space="preserve">g </w:t>
      </w:r>
      <w:r w:rsidRPr="002A53E1">
        <w:t xml:space="preserve">GDP values) and two vectors of dummies that identify whether a given year </w:t>
      </w:r>
      <w:proofErr w:type="gramStart"/>
      <w:r w:rsidRPr="002A53E1">
        <w:t>is considered to be</w:t>
      </w:r>
      <w:proofErr w:type="gramEnd"/>
      <w:r w:rsidRPr="002A53E1">
        <w:t xml:space="preserve"> related to exogenous fiscal consolidation.</w:t>
      </w:r>
    </w:p>
    <w:p w14:paraId="0F44D134" w14:textId="77777777" w:rsidR="008E081F" w:rsidRPr="002A53E1" w:rsidRDefault="008E081F" w:rsidP="008E081F">
      <w:pPr>
        <w:pStyle w:val="Paragrafoelenco"/>
        <w:numPr>
          <w:ilvl w:val="0"/>
          <w:numId w:val="1"/>
        </w:numPr>
        <w:contextualSpacing w:val="0"/>
        <w:jc w:val="both"/>
      </w:pPr>
      <w:r>
        <w:rPr>
          <w:b/>
          <w:sz w:val="32"/>
        </w:rPr>
        <w:t>Input</w:t>
      </w:r>
    </w:p>
    <w:p w14:paraId="5E1A83A4" w14:textId="77777777" w:rsidR="008E081F" w:rsidRPr="002A53E1" w:rsidRDefault="008E081F" w:rsidP="008E081F">
      <w:pPr>
        <w:pStyle w:val="Paragrafoelenco"/>
        <w:contextualSpacing w:val="0"/>
        <w:jc w:val="both"/>
        <w:rPr>
          <w:b/>
          <w:sz w:val="32"/>
        </w:rPr>
      </w:pPr>
      <w:r w:rsidRPr="002A53E1">
        <w:t xml:space="preserve">This sheet contains the copy of the “Input” sheet of the </w:t>
      </w:r>
      <w:proofErr w:type="spellStart"/>
      <w:r w:rsidRPr="002A53E1">
        <w:t>AppendixTables</w:t>
      </w:r>
      <w:proofErr w:type="spellEnd"/>
      <w:r w:rsidRPr="002A53E1">
        <w:t xml:space="preserve"> file.</w:t>
      </w:r>
    </w:p>
    <w:p w14:paraId="3A391CEB" w14:textId="77777777" w:rsidR="008E081F" w:rsidRPr="002A53E1" w:rsidRDefault="008E081F" w:rsidP="008E081F">
      <w:pPr>
        <w:pStyle w:val="Paragrafoelenco"/>
        <w:numPr>
          <w:ilvl w:val="0"/>
          <w:numId w:val="1"/>
        </w:numPr>
        <w:contextualSpacing w:val="0"/>
        <w:jc w:val="both"/>
      </w:pPr>
      <w:r>
        <w:rPr>
          <w:b/>
          <w:sz w:val="32"/>
        </w:rPr>
        <w:t>Scaled</w:t>
      </w:r>
    </w:p>
    <w:p w14:paraId="3C174441" w14:textId="1440142E" w:rsidR="008E081F" w:rsidRPr="00431E6F" w:rsidRDefault="008E081F" w:rsidP="008E081F">
      <w:pPr>
        <w:pStyle w:val="Paragrafoelenco"/>
        <w:contextualSpacing w:val="0"/>
        <w:jc w:val="both"/>
      </w:pPr>
      <w:r w:rsidRPr="002A53E1">
        <w:t xml:space="preserve">Here one can see how the measure values are scaled </w:t>
      </w:r>
      <w:r w:rsidR="00AC39D0">
        <w:t>by</w:t>
      </w:r>
      <w:r w:rsidRPr="002A53E1">
        <w:t xml:space="preserve"> </w:t>
      </w:r>
      <w:r w:rsidR="00AC39D0">
        <w:t xml:space="preserve">the </w:t>
      </w:r>
      <w:r w:rsidRPr="002A53E1">
        <w:t>value of the GDP of the preceding year</w:t>
      </w:r>
      <w:r w:rsidRPr="002A53E1">
        <w:rPr>
          <w:rStyle w:val="Rimandonotaapidipagina"/>
        </w:rPr>
        <w:footnoteReference w:id="1"/>
      </w:r>
      <w:r w:rsidRPr="002A53E1">
        <w:t>.</w:t>
      </w:r>
    </w:p>
    <w:p w14:paraId="63A24621" w14:textId="77777777" w:rsidR="008E081F" w:rsidRPr="00D95D8A" w:rsidRDefault="008E081F" w:rsidP="008E081F">
      <w:pPr>
        <w:pStyle w:val="Paragrafoelenco"/>
        <w:numPr>
          <w:ilvl w:val="0"/>
          <w:numId w:val="1"/>
        </w:numPr>
        <w:contextualSpacing w:val="0"/>
        <w:jc w:val="both"/>
      </w:pPr>
      <w:r>
        <w:rPr>
          <w:b/>
          <w:sz w:val="32"/>
        </w:rPr>
        <w:t>Structured</w:t>
      </w:r>
    </w:p>
    <w:p w14:paraId="63695BFE" w14:textId="77777777" w:rsidR="008E081F" w:rsidRPr="00431E6F" w:rsidRDefault="008E081F" w:rsidP="008E081F">
      <w:pPr>
        <w:pStyle w:val="Paragrafoelenco"/>
        <w:contextualSpacing w:val="0"/>
        <w:jc w:val="both"/>
      </w:pPr>
      <w:r w:rsidRPr="00D95D8A">
        <w:t xml:space="preserve">The data are structured in the way in which they appear in the </w:t>
      </w:r>
      <w:proofErr w:type="spellStart"/>
      <w:r w:rsidRPr="00D95D8A">
        <w:t>NewComponents</w:t>
      </w:r>
      <w:proofErr w:type="spellEnd"/>
      <w:r w:rsidRPr="00D95D8A">
        <w:t xml:space="preserve"> file, where the affiliations are described in the section above.</w:t>
      </w:r>
    </w:p>
    <w:p w14:paraId="5BFB10B7" w14:textId="77777777" w:rsidR="008E081F" w:rsidRPr="00D95D8A" w:rsidRDefault="008E081F" w:rsidP="008E081F">
      <w:pPr>
        <w:pStyle w:val="Paragrafoelenco"/>
        <w:numPr>
          <w:ilvl w:val="0"/>
          <w:numId w:val="1"/>
        </w:numPr>
        <w:contextualSpacing w:val="0"/>
        <w:jc w:val="both"/>
      </w:pPr>
      <w:r>
        <w:rPr>
          <w:b/>
          <w:sz w:val="32"/>
        </w:rPr>
        <w:t>Final</w:t>
      </w:r>
    </w:p>
    <w:p w14:paraId="49BD1678" w14:textId="308E1517" w:rsidR="008E081F" w:rsidRPr="00431E6F" w:rsidRDefault="008E081F" w:rsidP="008E081F">
      <w:pPr>
        <w:pStyle w:val="Paragrafoelenco"/>
        <w:contextualSpacing w:val="0"/>
        <w:jc w:val="both"/>
      </w:pPr>
      <w:r w:rsidRPr="00D95D8A">
        <w:t xml:space="preserve">The conclusive table, which represents the reconstructed copy of the </w:t>
      </w:r>
      <w:proofErr w:type="spellStart"/>
      <w:r w:rsidRPr="00D95D8A">
        <w:t>NewComponents</w:t>
      </w:r>
      <w:proofErr w:type="spellEnd"/>
      <w:r w:rsidR="00AC39D0">
        <w:t xml:space="preserve"> file</w:t>
      </w:r>
      <w:r w:rsidRPr="00D95D8A">
        <w:t>. The only transformation added with respect to the previous sheet is the control for the consolidation dummies located in the “Macro” sheet.</w:t>
      </w:r>
    </w:p>
    <w:p w14:paraId="7613D933" w14:textId="77777777" w:rsidR="008E081F" w:rsidRPr="00D95D8A" w:rsidRDefault="008E081F" w:rsidP="008E081F">
      <w:pPr>
        <w:pStyle w:val="Paragrafoelenco"/>
        <w:numPr>
          <w:ilvl w:val="0"/>
          <w:numId w:val="1"/>
        </w:numPr>
        <w:contextualSpacing w:val="0"/>
        <w:jc w:val="both"/>
      </w:pPr>
      <w:r>
        <w:rPr>
          <w:b/>
          <w:sz w:val="32"/>
        </w:rPr>
        <w:t>Sum-check</w:t>
      </w:r>
    </w:p>
    <w:p w14:paraId="72807109" w14:textId="77777777" w:rsidR="008E081F" w:rsidRDefault="008E081F" w:rsidP="008E081F">
      <w:pPr>
        <w:pStyle w:val="Paragrafoelenco"/>
        <w:contextualSpacing w:val="0"/>
        <w:jc w:val="both"/>
      </w:pPr>
      <w:r w:rsidRPr="00D95D8A">
        <w:t xml:space="preserve">The sheet which allows to calculate the difference between the original </w:t>
      </w:r>
      <w:proofErr w:type="spellStart"/>
      <w:r w:rsidRPr="00D95D8A">
        <w:t>NewComponents</w:t>
      </w:r>
      <w:proofErr w:type="spellEnd"/>
      <w:r w:rsidRPr="00D95D8A">
        <w:t xml:space="preserve"> file and the reconstructed version.</w:t>
      </w:r>
    </w:p>
    <w:p w14:paraId="6FB54642" w14:textId="47D735DD" w:rsidR="008E081F" w:rsidRDefault="008E081F" w:rsidP="008B31A5">
      <w:pPr>
        <w:pStyle w:val="Titolo"/>
        <w:jc w:val="both"/>
      </w:pPr>
    </w:p>
    <w:p w14:paraId="263A4B09" w14:textId="77777777" w:rsidR="00F5558F" w:rsidRPr="00F5558F" w:rsidRDefault="00F5558F" w:rsidP="00F5558F"/>
    <w:p w14:paraId="09915629" w14:textId="77777777" w:rsidR="008E081F" w:rsidRPr="008E081F" w:rsidRDefault="008E081F" w:rsidP="008E081F"/>
    <w:p w14:paraId="0B62E852" w14:textId="77777777" w:rsidR="00AC39D0" w:rsidRDefault="00AC39D0" w:rsidP="008B31A5">
      <w:pPr>
        <w:pStyle w:val="Titolo"/>
        <w:jc w:val="both"/>
      </w:pPr>
    </w:p>
    <w:p w14:paraId="377CED46" w14:textId="55CBED7E" w:rsidR="0037735A" w:rsidRDefault="0037735A" w:rsidP="008B31A5">
      <w:pPr>
        <w:pStyle w:val="Titolo"/>
        <w:jc w:val="both"/>
      </w:pPr>
      <w:r>
        <w:lastRenderedPageBreak/>
        <w:t>NewComponents1978-2014_final.xlsx</w:t>
      </w:r>
    </w:p>
    <w:p w14:paraId="4EA76794" w14:textId="77777777" w:rsidR="0037735A" w:rsidRPr="0045313D" w:rsidRDefault="004D4B31" w:rsidP="008B31A5">
      <w:pPr>
        <w:pStyle w:val="Paragrafoelenco"/>
        <w:numPr>
          <w:ilvl w:val="0"/>
          <w:numId w:val="1"/>
        </w:numPr>
        <w:jc w:val="both"/>
        <w:rPr>
          <w:b/>
          <w:sz w:val="32"/>
        </w:rPr>
      </w:pPr>
      <w:r>
        <w:rPr>
          <w:b/>
          <w:sz w:val="32"/>
        </w:rPr>
        <w:t>GDP</w:t>
      </w:r>
    </w:p>
    <w:p w14:paraId="073D67BE" w14:textId="180E8F5B" w:rsidR="005C50A8" w:rsidRDefault="004D4B31" w:rsidP="008B31A5">
      <w:pPr>
        <w:pStyle w:val="Paragrafoelenco"/>
        <w:contextualSpacing w:val="0"/>
        <w:jc w:val="both"/>
      </w:pPr>
      <w:r>
        <w:t xml:space="preserve">This sheet contains the most detailed decomposition of the exogenous fiscal correction announcements. Measure amounts are presented as percentages of </w:t>
      </w:r>
      <w:r w:rsidR="00AC39D0">
        <w:t xml:space="preserve">the </w:t>
      </w:r>
      <w:r>
        <w:t xml:space="preserve">GDP of the year preceding the announcement. </w:t>
      </w:r>
    </w:p>
    <w:p w14:paraId="59C1A8BB" w14:textId="0404F376" w:rsidR="00AC07FA" w:rsidRDefault="00230C2D" w:rsidP="008B31A5">
      <w:pPr>
        <w:pStyle w:val="Paragrafoelenco"/>
        <w:contextualSpacing w:val="0"/>
        <w:jc w:val="both"/>
      </w:pPr>
      <w:r>
        <w:t xml:space="preserve">There is an explicit relation between these data and the data of </w:t>
      </w:r>
      <w:r w:rsidRPr="005C50A8">
        <w:rPr>
          <w:b/>
        </w:rPr>
        <w:t>AppendixTables.xl</w:t>
      </w:r>
      <w:r w:rsidR="005C50A8" w:rsidRPr="005C50A8">
        <w:rPr>
          <w:b/>
        </w:rPr>
        <w:t>sx</w:t>
      </w:r>
      <w:r w:rsidR="00AC07FA">
        <w:t xml:space="preserve">, whereby the needed transformations are made explicit in the </w:t>
      </w:r>
      <w:r w:rsidR="00AC07FA" w:rsidRPr="00AC07FA">
        <w:rPr>
          <w:b/>
        </w:rPr>
        <w:t>DataStructuring.xlsx</w:t>
      </w:r>
      <w:r w:rsidR="00AC07FA">
        <w:t xml:space="preserve"> file</w:t>
      </w:r>
      <w:r w:rsidR="005C50A8">
        <w:t>.</w:t>
      </w:r>
    </w:p>
    <w:p w14:paraId="7572FD6D" w14:textId="41DC5F57" w:rsidR="004D4B31" w:rsidRDefault="0000770B" w:rsidP="008B31A5">
      <w:pPr>
        <w:pStyle w:val="Paragrafoelenco"/>
        <w:contextualSpacing w:val="0"/>
        <w:jc w:val="both"/>
      </w:pPr>
      <w:r>
        <w:t xml:space="preserve">Any measure announcement for a given year is </w:t>
      </w:r>
      <w:r w:rsidR="00AC39D0">
        <w:t>assigned to one</w:t>
      </w:r>
      <w:r w:rsidR="00B034B3">
        <w:t xml:space="preserve"> of the categories following the classification provided in the table </w:t>
      </w:r>
      <w:r w:rsidR="00B034B3" w:rsidRPr="006A4810">
        <w:t>below</w:t>
      </w:r>
      <w:r w:rsidR="00C73511" w:rsidRPr="006A4810">
        <w:t xml:space="preserve"> (be aware that </w:t>
      </w:r>
      <w:r w:rsidR="006A4810" w:rsidRPr="006A4810">
        <w:t xml:space="preserve">several tax measures are </w:t>
      </w:r>
      <w:r w:rsidR="00AC39D0">
        <w:t>accounted for</w:t>
      </w:r>
      <w:r w:rsidR="006A4810" w:rsidRPr="006A4810">
        <w:t xml:space="preserve"> in multiple places</w:t>
      </w:r>
      <w:r w:rsidR="00C73511" w:rsidRPr="006A4810">
        <w:t>)</w:t>
      </w:r>
      <w:r w:rsidR="00B034B3" w:rsidRPr="006A4810">
        <w:t>.</w:t>
      </w:r>
    </w:p>
    <w:tbl>
      <w:tblPr>
        <w:tblW w:w="8354" w:type="dxa"/>
        <w:jc w:val="center"/>
        <w:tblLayout w:type="fixed"/>
        <w:tblLook w:val="04A0" w:firstRow="1" w:lastRow="0" w:firstColumn="1" w:lastColumn="0" w:noHBand="0" w:noVBand="1"/>
      </w:tblPr>
      <w:tblGrid>
        <w:gridCol w:w="1516"/>
        <w:gridCol w:w="3577"/>
        <w:gridCol w:w="3261"/>
      </w:tblGrid>
      <w:tr w:rsidR="00B2704A" w:rsidRPr="00EE3706" w14:paraId="6FD9DCEF" w14:textId="77777777" w:rsidTr="006A4810">
        <w:trPr>
          <w:trHeight w:val="340"/>
          <w:jc w:val="center"/>
        </w:trPr>
        <w:tc>
          <w:tcPr>
            <w:tcW w:w="5093" w:type="dxa"/>
            <w:gridSpan w:val="2"/>
            <w:tcBorders>
              <w:top w:val="single" w:sz="8" w:space="0" w:color="auto"/>
              <w:left w:val="single" w:sz="8" w:space="0" w:color="auto"/>
              <w:bottom w:val="single" w:sz="8" w:space="0" w:color="auto"/>
              <w:right w:val="single" w:sz="8" w:space="0" w:color="000000"/>
            </w:tcBorders>
            <w:shd w:val="clear" w:color="000000" w:fill="F2F2F2"/>
            <w:vAlign w:val="center"/>
            <w:hideMark/>
          </w:tcPr>
          <w:p w14:paraId="5771233A" w14:textId="77777777" w:rsidR="00B2704A" w:rsidRPr="00EE3706" w:rsidRDefault="00B2704A" w:rsidP="008B31A5">
            <w:pPr>
              <w:spacing w:after="0" w:line="240" w:lineRule="auto"/>
              <w:jc w:val="both"/>
              <w:rPr>
                <w:rFonts w:ascii="Calibri" w:eastAsia="Times New Roman" w:hAnsi="Calibri" w:cs="Calibri"/>
                <w:b/>
                <w:bCs/>
                <w:color w:val="000000"/>
                <w:sz w:val="22"/>
              </w:rPr>
            </w:pPr>
            <w:r w:rsidRPr="00EE3706">
              <w:rPr>
                <w:rFonts w:ascii="Calibri" w:eastAsia="Times New Roman" w:hAnsi="Calibri" w:cs="Calibri"/>
                <w:b/>
                <w:bCs/>
                <w:color w:val="000000"/>
                <w:sz w:val="22"/>
              </w:rPr>
              <w:t xml:space="preserve">New_Components1978-2014_final.xlsx classification </w:t>
            </w:r>
          </w:p>
        </w:tc>
        <w:tc>
          <w:tcPr>
            <w:tcW w:w="3261" w:type="dxa"/>
            <w:tcBorders>
              <w:top w:val="single" w:sz="8" w:space="0" w:color="auto"/>
              <w:left w:val="nil"/>
              <w:bottom w:val="single" w:sz="8" w:space="0" w:color="auto"/>
              <w:right w:val="single" w:sz="8" w:space="0" w:color="000000"/>
            </w:tcBorders>
            <w:shd w:val="clear" w:color="000000" w:fill="F2F2F2"/>
            <w:vAlign w:val="center"/>
            <w:hideMark/>
          </w:tcPr>
          <w:p w14:paraId="2A613FD0" w14:textId="77777777" w:rsidR="00B2704A" w:rsidRPr="00EE3706" w:rsidRDefault="00B2704A" w:rsidP="008B31A5">
            <w:pPr>
              <w:spacing w:after="0" w:line="240" w:lineRule="auto"/>
              <w:jc w:val="both"/>
              <w:rPr>
                <w:rFonts w:ascii="Calibri" w:eastAsia="Times New Roman" w:hAnsi="Calibri" w:cs="Calibri"/>
                <w:b/>
                <w:bCs/>
                <w:color w:val="000000"/>
                <w:sz w:val="22"/>
              </w:rPr>
            </w:pPr>
            <w:r w:rsidRPr="00EE3706">
              <w:rPr>
                <w:rFonts w:ascii="Calibri" w:eastAsia="Times New Roman" w:hAnsi="Calibri" w:cs="Calibri"/>
                <w:b/>
                <w:bCs/>
                <w:color w:val="000000"/>
                <w:sz w:val="22"/>
              </w:rPr>
              <w:t>AppendixTables_new.xlsx classification</w:t>
            </w:r>
          </w:p>
        </w:tc>
      </w:tr>
      <w:tr w:rsidR="006A4810" w:rsidRPr="00EE3706" w14:paraId="7E422E38" w14:textId="77777777" w:rsidTr="006A4810">
        <w:trPr>
          <w:trHeight w:val="340"/>
          <w:jc w:val="center"/>
        </w:trPr>
        <w:tc>
          <w:tcPr>
            <w:tcW w:w="1516" w:type="dxa"/>
            <w:vMerge w:val="restart"/>
            <w:tcBorders>
              <w:top w:val="nil"/>
              <w:left w:val="single" w:sz="8" w:space="0" w:color="auto"/>
              <w:right w:val="single" w:sz="8" w:space="0" w:color="auto"/>
            </w:tcBorders>
            <w:shd w:val="clear" w:color="000000" w:fill="FCE4D6"/>
            <w:vAlign w:val="center"/>
            <w:hideMark/>
          </w:tcPr>
          <w:p w14:paraId="13FDBCE1" w14:textId="77777777" w:rsidR="006A4810" w:rsidRPr="00EE3706" w:rsidRDefault="006A4810" w:rsidP="008B31A5">
            <w:pPr>
              <w:spacing w:after="0" w:line="240" w:lineRule="auto"/>
              <w:jc w:val="both"/>
              <w:rPr>
                <w:rFonts w:ascii="Calibri" w:eastAsia="Times New Roman" w:hAnsi="Calibri" w:cs="Calibri"/>
                <w:color w:val="000000"/>
                <w:sz w:val="22"/>
              </w:rPr>
            </w:pPr>
            <w:r w:rsidRPr="00EE3706">
              <w:rPr>
                <w:rFonts w:ascii="Calibri" w:eastAsia="Times New Roman" w:hAnsi="Calibri" w:cs="Calibri"/>
                <w:color w:val="000000"/>
                <w:sz w:val="22"/>
              </w:rPr>
              <w:t>Taxes</w:t>
            </w:r>
          </w:p>
        </w:tc>
        <w:tc>
          <w:tcPr>
            <w:tcW w:w="3577" w:type="dxa"/>
            <w:vMerge w:val="restart"/>
            <w:tcBorders>
              <w:top w:val="nil"/>
              <w:left w:val="single" w:sz="8" w:space="0" w:color="auto"/>
              <w:bottom w:val="single" w:sz="8" w:space="0" w:color="000000"/>
              <w:right w:val="single" w:sz="8" w:space="0" w:color="auto"/>
            </w:tcBorders>
            <w:shd w:val="clear" w:color="000000" w:fill="F8CBAD"/>
            <w:vAlign w:val="center"/>
            <w:hideMark/>
          </w:tcPr>
          <w:p w14:paraId="0843C78D" w14:textId="77777777" w:rsidR="006A4810" w:rsidRPr="00EE3706" w:rsidRDefault="006A4810" w:rsidP="008B31A5">
            <w:pPr>
              <w:spacing w:after="0" w:line="240" w:lineRule="auto"/>
              <w:jc w:val="both"/>
              <w:rPr>
                <w:rFonts w:ascii="Calibri" w:eastAsia="Times New Roman" w:hAnsi="Calibri" w:cs="Calibri"/>
                <w:b/>
                <w:bCs/>
                <w:color w:val="000000"/>
                <w:sz w:val="22"/>
              </w:rPr>
            </w:pPr>
            <w:r w:rsidRPr="00EE3706">
              <w:rPr>
                <w:rFonts w:ascii="Calibri" w:eastAsia="Times New Roman" w:hAnsi="Calibri" w:cs="Calibri"/>
                <w:b/>
                <w:bCs/>
                <w:color w:val="000000"/>
                <w:sz w:val="22"/>
              </w:rPr>
              <w:t xml:space="preserve">Taxes - </w:t>
            </w:r>
            <w:r>
              <w:rPr>
                <w:rFonts w:ascii="Calibri" w:eastAsia="Times New Roman" w:hAnsi="Calibri" w:cs="Calibri"/>
                <w:b/>
                <w:bCs/>
                <w:color w:val="000000"/>
                <w:sz w:val="22"/>
              </w:rPr>
              <w:t>Income</w:t>
            </w:r>
          </w:p>
        </w:tc>
        <w:tc>
          <w:tcPr>
            <w:tcW w:w="3261" w:type="dxa"/>
            <w:tcBorders>
              <w:top w:val="nil"/>
              <w:left w:val="nil"/>
              <w:bottom w:val="single" w:sz="8" w:space="0" w:color="auto"/>
              <w:right w:val="single" w:sz="8" w:space="0" w:color="auto"/>
            </w:tcBorders>
            <w:shd w:val="clear" w:color="000000" w:fill="F4B084"/>
            <w:vAlign w:val="center"/>
            <w:hideMark/>
          </w:tcPr>
          <w:p w14:paraId="2B4B2E76" w14:textId="77777777" w:rsidR="006A4810" w:rsidRPr="00EE3706" w:rsidRDefault="006A4810" w:rsidP="008B31A5">
            <w:pPr>
              <w:spacing w:after="0" w:line="240" w:lineRule="auto"/>
              <w:jc w:val="both"/>
              <w:rPr>
                <w:rFonts w:ascii="Calibri" w:eastAsia="Times New Roman" w:hAnsi="Calibri" w:cs="Calibri"/>
                <w:color w:val="000000"/>
                <w:sz w:val="22"/>
              </w:rPr>
            </w:pPr>
            <w:r w:rsidRPr="00EE3706">
              <w:rPr>
                <w:rFonts w:ascii="Calibri" w:eastAsia="Times New Roman" w:hAnsi="Calibri" w:cs="Calibri"/>
                <w:color w:val="000000"/>
                <w:sz w:val="22"/>
              </w:rPr>
              <w:t>Corporate Tax</w:t>
            </w:r>
          </w:p>
        </w:tc>
      </w:tr>
      <w:tr w:rsidR="006A4810" w:rsidRPr="00EE3706" w14:paraId="2F181239" w14:textId="77777777" w:rsidTr="006A4810">
        <w:trPr>
          <w:trHeight w:val="340"/>
          <w:jc w:val="center"/>
        </w:trPr>
        <w:tc>
          <w:tcPr>
            <w:tcW w:w="1516" w:type="dxa"/>
            <w:vMerge/>
            <w:tcBorders>
              <w:left w:val="single" w:sz="8" w:space="0" w:color="auto"/>
              <w:right w:val="single" w:sz="8" w:space="0" w:color="auto"/>
            </w:tcBorders>
            <w:vAlign w:val="center"/>
          </w:tcPr>
          <w:p w14:paraId="4BF413E1" w14:textId="77777777" w:rsidR="006A4810" w:rsidRPr="00EE3706" w:rsidRDefault="006A4810" w:rsidP="008B31A5">
            <w:pPr>
              <w:spacing w:after="0" w:line="240" w:lineRule="auto"/>
              <w:jc w:val="both"/>
              <w:rPr>
                <w:rFonts w:ascii="Calibri" w:eastAsia="Times New Roman" w:hAnsi="Calibri" w:cs="Calibri"/>
                <w:color w:val="000000"/>
                <w:sz w:val="22"/>
              </w:rPr>
            </w:pPr>
          </w:p>
        </w:tc>
        <w:tc>
          <w:tcPr>
            <w:tcW w:w="3577" w:type="dxa"/>
            <w:vMerge/>
            <w:tcBorders>
              <w:top w:val="nil"/>
              <w:left w:val="single" w:sz="8" w:space="0" w:color="auto"/>
              <w:bottom w:val="single" w:sz="8" w:space="0" w:color="000000"/>
              <w:right w:val="single" w:sz="8" w:space="0" w:color="auto"/>
            </w:tcBorders>
            <w:vAlign w:val="center"/>
          </w:tcPr>
          <w:p w14:paraId="6DAB6A30" w14:textId="77777777" w:rsidR="006A4810" w:rsidRPr="00EE3706" w:rsidRDefault="006A4810" w:rsidP="008B31A5">
            <w:pPr>
              <w:spacing w:after="0" w:line="240" w:lineRule="auto"/>
              <w:jc w:val="both"/>
              <w:rPr>
                <w:rFonts w:ascii="Calibri" w:eastAsia="Times New Roman" w:hAnsi="Calibri" w:cs="Calibri"/>
                <w:b/>
                <w:bCs/>
                <w:color w:val="000000"/>
                <w:sz w:val="22"/>
              </w:rPr>
            </w:pPr>
          </w:p>
        </w:tc>
        <w:tc>
          <w:tcPr>
            <w:tcW w:w="3261" w:type="dxa"/>
            <w:tcBorders>
              <w:top w:val="nil"/>
              <w:left w:val="nil"/>
              <w:bottom w:val="single" w:sz="8" w:space="0" w:color="auto"/>
              <w:right w:val="single" w:sz="8" w:space="0" w:color="auto"/>
            </w:tcBorders>
            <w:shd w:val="clear" w:color="000000" w:fill="F4B084"/>
            <w:vAlign w:val="center"/>
          </w:tcPr>
          <w:p w14:paraId="6415B044" w14:textId="77777777" w:rsidR="006A4810" w:rsidRDefault="006A4810" w:rsidP="008B31A5">
            <w:pPr>
              <w:spacing w:after="0" w:line="240" w:lineRule="auto"/>
              <w:jc w:val="both"/>
              <w:rPr>
                <w:rFonts w:ascii="Calibri" w:eastAsia="Times New Roman" w:hAnsi="Calibri" w:cs="Calibri"/>
                <w:color w:val="000000"/>
                <w:sz w:val="22"/>
              </w:rPr>
            </w:pPr>
            <w:r>
              <w:rPr>
                <w:rFonts w:ascii="Calibri" w:eastAsia="Times New Roman" w:hAnsi="Calibri" w:cs="Calibri"/>
                <w:color w:val="000000"/>
                <w:sz w:val="22"/>
              </w:rPr>
              <w:t xml:space="preserve">Personal Income </w:t>
            </w:r>
            <w:r w:rsidRPr="00EE3706">
              <w:rPr>
                <w:rFonts w:ascii="Calibri" w:eastAsia="Times New Roman" w:hAnsi="Calibri" w:cs="Calibri"/>
                <w:color w:val="000000"/>
                <w:sz w:val="22"/>
              </w:rPr>
              <w:t>Tax</w:t>
            </w:r>
          </w:p>
        </w:tc>
      </w:tr>
      <w:tr w:rsidR="006A4810" w:rsidRPr="00EE3706" w14:paraId="061F9FC9" w14:textId="77777777" w:rsidTr="006A4810">
        <w:trPr>
          <w:trHeight w:val="340"/>
          <w:jc w:val="center"/>
        </w:trPr>
        <w:tc>
          <w:tcPr>
            <w:tcW w:w="1516" w:type="dxa"/>
            <w:vMerge/>
            <w:tcBorders>
              <w:left w:val="single" w:sz="8" w:space="0" w:color="auto"/>
              <w:right w:val="single" w:sz="8" w:space="0" w:color="auto"/>
            </w:tcBorders>
            <w:vAlign w:val="center"/>
            <w:hideMark/>
          </w:tcPr>
          <w:p w14:paraId="497FCF4D" w14:textId="77777777" w:rsidR="006A4810" w:rsidRPr="00EE3706" w:rsidRDefault="006A4810" w:rsidP="008B31A5">
            <w:pPr>
              <w:spacing w:after="0" w:line="240" w:lineRule="auto"/>
              <w:jc w:val="both"/>
              <w:rPr>
                <w:rFonts w:ascii="Calibri" w:eastAsia="Times New Roman" w:hAnsi="Calibri" w:cs="Calibri"/>
                <w:color w:val="000000"/>
                <w:sz w:val="22"/>
              </w:rPr>
            </w:pPr>
          </w:p>
        </w:tc>
        <w:tc>
          <w:tcPr>
            <w:tcW w:w="3577" w:type="dxa"/>
            <w:vMerge/>
            <w:tcBorders>
              <w:top w:val="nil"/>
              <w:left w:val="single" w:sz="8" w:space="0" w:color="auto"/>
              <w:bottom w:val="single" w:sz="8" w:space="0" w:color="000000"/>
              <w:right w:val="single" w:sz="8" w:space="0" w:color="auto"/>
            </w:tcBorders>
            <w:vAlign w:val="center"/>
            <w:hideMark/>
          </w:tcPr>
          <w:p w14:paraId="47409876" w14:textId="77777777" w:rsidR="006A4810" w:rsidRPr="00EE3706" w:rsidRDefault="006A4810" w:rsidP="008B31A5">
            <w:pPr>
              <w:spacing w:after="0" w:line="240" w:lineRule="auto"/>
              <w:jc w:val="both"/>
              <w:rPr>
                <w:rFonts w:ascii="Calibri" w:eastAsia="Times New Roman" w:hAnsi="Calibri" w:cs="Calibri"/>
                <w:b/>
                <w:bCs/>
                <w:color w:val="000000"/>
                <w:sz w:val="22"/>
              </w:rPr>
            </w:pPr>
          </w:p>
        </w:tc>
        <w:tc>
          <w:tcPr>
            <w:tcW w:w="3261" w:type="dxa"/>
            <w:tcBorders>
              <w:top w:val="nil"/>
              <w:left w:val="nil"/>
              <w:bottom w:val="single" w:sz="8" w:space="0" w:color="auto"/>
              <w:right w:val="single" w:sz="8" w:space="0" w:color="auto"/>
            </w:tcBorders>
            <w:shd w:val="clear" w:color="000000" w:fill="F4B084"/>
            <w:vAlign w:val="center"/>
            <w:hideMark/>
          </w:tcPr>
          <w:p w14:paraId="1425B864" w14:textId="77777777" w:rsidR="006A4810" w:rsidRPr="00EE3706" w:rsidRDefault="006A4810" w:rsidP="008B31A5">
            <w:pPr>
              <w:spacing w:after="0" w:line="240" w:lineRule="auto"/>
              <w:jc w:val="both"/>
              <w:rPr>
                <w:rFonts w:ascii="Calibri" w:eastAsia="Times New Roman" w:hAnsi="Calibri" w:cs="Calibri"/>
                <w:color w:val="000000"/>
                <w:sz w:val="22"/>
              </w:rPr>
            </w:pPr>
            <w:r>
              <w:rPr>
                <w:rFonts w:ascii="Calibri" w:eastAsia="Times New Roman" w:hAnsi="Calibri" w:cs="Calibri"/>
                <w:color w:val="000000"/>
                <w:sz w:val="22"/>
              </w:rPr>
              <w:t xml:space="preserve">NYC </w:t>
            </w:r>
            <w:proofErr w:type="spellStart"/>
            <w:r>
              <w:rPr>
                <w:rFonts w:ascii="Calibri" w:eastAsia="Times New Roman" w:hAnsi="Calibri" w:cs="Calibri"/>
                <w:color w:val="000000"/>
                <w:sz w:val="22"/>
              </w:rPr>
              <w:t>CvsP</w:t>
            </w:r>
            <w:proofErr w:type="spellEnd"/>
          </w:p>
        </w:tc>
      </w:tr>
      <w:tr w:rsidR="006A4810" w:rsidRPr="00EE3706" w14:paraId="498345F5" w14:textId="77777777" w:rsidTr="006A4810">
        <w:trPr>
          <w:trHeight w:val="340"/>
          <w:jc w:val="center"/>
        </w:trPr>
        <w:tc>
          <w:tcPr>
            <w:tcW w:w="1516" w:type="dxa"/>
            <w:vMerge/>
            <w:tcBorders>
              <w:left w:val="single" w:sz="8" w:space="0" w:color="auto"/>
              <w:right w:val="single" w:sz="8" w:space="0" w:color="auto"/>
            </w:tcBorders>
            <w:vAlign w:val="center"/>
            <w:hideMark/>
          </w:tcPr>
          <w:p w14:paraId="06419221" w14:textId="77777777" w:rsidR="006A4810" w:rsidRPr="00EE3706" w:rsidRDefault="006A4810" w:rsidP="008B31A5">
            <w:pPr>
              <w:spacing w:after="0" w:line="240" w:lineRule="auto"/>
              <w:jc w:val="both"/>
              <w:rPr>
                <w:rFonts w:ascii="Calibri" w:eastAsia="Times New Roman" w:hAnsi="Calibri" w:cs="Calibri"/>
                <w:color w:val="000000"/>
                <w:sz w:val="22"/>
              </w:rPr>
            </w:pPr>
          </w:p>
        </w:tc>
        <w:tc>
          <w:tcPr>
            <w:tcW w:w="3577" w:type="dxa"/>
            <w:vMerge w:val="restart"/>
            <w:tcBorders>
              <w:top w:val="nil"/>
              <w:left w:val="single" w:sz="8" w:space="0" w:color="auto"/>
              <w:bottom w:val="single" w:sz="8" w:space="0" w:color="000000"/>
              <w:right w:val="single" w:sz="8" w:space="0" w:color="auto"/>
            </w:tcBorders>
            <w:shd w:val="clear" w:color="000000" w:fill="F8CBAD"/>
            <w:vAlign w:val="center"/>
            <w:hideMark/>
          </w:tcPr>
          <w:p w14:paraId="1C8FA0A1" w14:textId="77777777" w:rsidR="006A4810" w:rsidRPr="00EE3706" w:rsidRDefault="006A4810" w:rsidP="008B31A5">
            <w:pPr>
              <w:spacing w:after="0" w:line="240" w:lineRule="auto"/>
              <w:jc w:val="both"/>
              <w:rPr>
                <w:rFonts w:ascii="Calibri" w:eastAsia="Times New Roman" w:hAnsi="Calibri" w:cs="Calibri"/>
                <w:b/>
                <w:bCs/>
                <w:color w:val="000000"/>
                <w:sz w:val="22"/>
              </w:rPr>
            </w:pPr>
            <w:r w:rsidRPr="00EE3706">
              <w:rPr>
                <w:rFonts w:ascii="Calibri" w:eastAsia="Times New Roman" w:hAnsi="Calibri" w:cs="Calibri"/>
                <w:b/>
                <w:bCs/>
                <w:color w:val="000000"/>
                <w:sz w:val="22"/>
              </w:rPr>
              <w:t xml:space="preserve">Taxes - </w:t>
            </w:r>
            <w:r>
              <w:rPr>
                <w:rFonts w:ascii="Calibri" w:eastAsia="Times New Roman" w:hAnsi="Calibri" w:cs="Calibri"/>
                <w:b/>
                <w:bCs/>
                <w:color w:val="000000"/>
                <w:sz w:val="22"/>
              </w:rPr>
              <w:t>Properties</w:t>
            </w:r>
          </w:p>
        </w:tc>
        <w:tc>
          <w:tcPr>
            <w:tcW w:w="3261" w:type="dxa"/>
            <w:tcBorders>
              <w:top w:val="nil"/>
              <w:left w:val="nil"/>
              <w:bottom w:val="single" w:sz="8" w:space="0" w:color="auto"/>
              <w:right w:val="single" w:sz="8" w:space="0" w:color="auto"/>
            </w:tcBorders>
            <w:shd w:val="clear" w:color="000000" w:fill="F4B084"/>
            <w:vAlign w:val="center"/>
            <w:hideMark/>
          </w:tcPr>
          <w:p w14:paraId="4D121382" w14:textId="77777777" w:rsidR="006A4810" w:rsidRPr="00EE3706" w:rsidRDefault="006A4810" w:rsidP="008B31A5">
            <w:pPr>
              <w:spacing w:after="0" w:line="240" w:lineRule="auto"/>
              <w:jc w:val="both"/>
              <w:rPr>
                <w:rFonts w:ascii="Calibri" w:eastAsia="Times New Roman" w:hAnsi="Calibri" w:cs="Calibri"/>
                <w:color w:val="000000"/>
                <w:sz w:val="22"/>
              </w:rPr>
            </w:pPr>
            <w:r>
              <w:rPr>
                <w:rFonts w:ascii="Calibri" w:eastAsia="Times New Roman" w:hAnsi="Calibri" w:cs="Calibri"/>
                <w:color w:val="000000"/>
                <w:sz w:val="22"/>
              </w:rPr>
              <w:t>Property Tax Private</w:t>
            </w:r>
          </w:p>
        </w:tc>
      </w:tr>
      <w:tr w:rsidR="006A4810" w:rsidRPr="00EE3706" w14:paraId="7F323C48" w14:textId="77777777" w:rsidTr="006A4810">
        <w:trPr>
          <w:trHeight w:val="340"/>
          <w:jc w:val="center"/>
        </w:trPr>
        <w:tc>
          <w:tcPr>
            <w:tcW w:w="1516" w:type="dxa"/>
            <w:vMerge/>
            <w:tcBorders>
              <w:left w:val="single" w:sz="8" w:space="0" w:color="auto"/>
              <w:right w:val="single" w:sz="8" w:space="0" w:color="auto"/>
            </w:tcBorders>
            <w:vAlign w:val="center"/>
          </w:tcPr>
          <w:p w14:paraId="4C1F98C7" w14:textId="77777777" w:rsidR="006A4810" w:rsidRPr="00EE3706" w:rsidRDefault="006A4810" w:rsidP="008B31A5">
            <w:pPr>
              <w:spacing w:after="0" w:line="240" w:lineRule="auto"/>
              <w:jc w:val="both"/>
              <w:rPr>
                <w:rFonts w:ascii="Calibri" w:eastAsia="Times New Roman" w:hAnsi="Calibri" w:cs="Calibri"/>
                <w:color w:val="000000"/>
                <w:sz w:val="22"/>
              </w:rPr>
            </w:pPr>
          </w:p>
        </w:tc>
        <w:tc>
          <w:tcPr>
            <w:tcW w:w="3577" w:type="dxa"/>
            <w:vMerge/>
            <w:tcBorders>
              <w:top w:val="nil"/>
              <w:left w:val="single" w:sz="8" w:space="0" w:color="auto"/>
              <w:bottom w:val="single" w:sz="8" w:space="0" w:color="000000"/>
              <w:right w:val="single" w:sz="8" w:space="0" w:color="auto"/>
            </w:tcBorders>
            <w:shd w:val="clear" w:color="000000" w:fill="F8CBAD"/>
            <w:vAlign w:val="center"/>
          </w:tcPr>
          <w:p w14:paraId="7334DCC9" w14:textId="77777777" w:rsidR="006A4810" w:rsidRPr="00EE3706" w:rsidRDefault="006A4810" w:rsidP="008B31A5">
            <w:pPr>
              <w:spacing w:after="0" w:line="240" w:lineRule="auto"/>
              <w:jc w:val="both"/>
              <w:rPr>
                <w:rFonts w:ascii="Calibri" w:eastAsia="Times New Roman" w:hAnsi="Calibri" w:cs="Calibri"/>
                <w:b/>
                <w:bCs/>
                <w:color w:val="000000"/>
                <w:sz w:val="22"/>
              </w:rPr>
            </w:pPr>
          </w:p>
        </w:tc>
        <w:tc>
          <w:tcPr>
            <w:tcW w:w="3261" w:type="dxa"/>
            <w:tcBorders>
              <w:top w:val="nil"/>
              <w:left w:val="nil"/>
              <w:bottom w:val="single" w:sz="8" w:space="0" w:color="auto"/>
              <w:right w:val="single" w:sz="8" w:space="0" w:color="auto"/>
            </w:tcBorders>
            <w:shd w:val="clear" w:color="000000" w:fill="F4B084"/>
            <w:vAlign w:val="center"/>
          </w:tcPr>
          <w:p w14:paraId="4E070AB2" w14:textId="77777777" w:rsidR="006A4810" w:rsidRDefault="006A4810" w:rsidP="008B31A5">
            <w:pPr>
              <w:spacing w:after="0" w:line="240" w:lineRule="auto"/>
              <w:jc w:val="both"/>
              <w:rPr>
                <w:rFonts w:ascii="Calibri" w:eastAsia="Times New Roman" w:hAnsi="Calibri" w:cs="Calibri"/>
                <w:color w:val="000000"/>
                <w:sz w:val="22"/>
              </w:rPr>
            </w:pPr>
            <w:r>
              <w:rPr>
                <w:rFonts w:ascii="Calibri" w:eastAsia="Times New Roman" w:hAnsi="Calibri" w:cs="Calibri"/>
                <w:color w:val="000000"/>
                <w:sz w:val="22"/>
              </w:rPr>
              <w:t>Property Tax Corporate</w:t>
            </w:r>
          </w:p>
        </w:tc>
      </w:tr>
      <w:tr w:rsidR="006A4810" w:rsidRPr="00EE3706" w14:paraId="419E3436" w14:textId="77777777" w:rsidTr="006A4810">
        <w:trPr>
          <w:trHeight w:val="340"/>
          <w:jc w:val="center"/>
        </w:trPr>
        <w:tc>
          <w:tcPr>
            <w:tcW w:w="1516" w:type="dxa"/>
            <w:vMerge/>
            <w:tcBorders>
              <w:left w:val="single" w:sz="8" w:space="0" w:color="auto"/>
              <w:right w:val="single" w:sz="8" w:space="0" w:color="auto"/>
            </w:tcBorders>
            <w:vAlign w:val="center"/>
            <w:hideMark/>
          </w:tcPr>
          <w:p w14:paraId="453F8C65" w14:textId="77777777" w:rsidR="006A4810" w:rsidRPr="00EE3706" w:rsidRDefault="006A4810" w:rsidP="008B31A5">
            <w:pPr>
              <w:spacing w:after="0" w:line="240" w:lineRule="auto"/>
              <w:jc w:val="both"/>
              <w:rPr>
                <w:rFonts w:ascii="Calibri" w:eastAsia="Times New Roman" w:hAnsi="Calibri" w:cs="Calibri"/>
                <w:color w:val="000000"/>
                <w:sz w:val="22"/>
              </w:rPr>
            </w:pPr>
          </w:p>
        </w:tc>
        <w:tc>
          <w:tcPr>
            <w:tcW w:w="3577" w:type="dxa"/>
            <w:vMerge/>
            <w:tcBorders>
              <w:top w:val="nil"/>
              <w:left w:val="single" w:sz="8" w:space="0" w:color="auto"/>
              <w:bottom w:val="single" w:sz="8" w:space="0" w:color="000000"/>
              <w:right w:val="single" w:sz="8" w:space="0" w:color="auto"/>
            </w:tcBorders>
            <w:vAlign w:val="center"/>
            <w:hideMark/>
          </w:tcPr>
          <w:p w14:paraId="31F9CA72" w14:textId="77777777" w:rsidR="006A4810" w:rsidRPr="00EE3706" w:rsidRDefault="006A4810" w:rsidP="008B31A5">
            <w:pPr>
              <w:spacing w:after="0" w:line="240" w:lineRule="auto"/>
              <w:jc w:val="both"/>
              <w:rPr>
                <w:rFonts w:ascii="Calibri" w:eastAsia="Times New Roman" w:hAnsi="Calibri" w:cs="Calibri"/>
                <w:b/>
                <w:bCs/>
                <w:color w:val="000000"/>
                <w:sz w:val="22"/>
              </w:rPr>
            </w:pPr>
          </w:p>
        </w:tc>
        <w:tc>
          <w:tcPr>
            <w:tcW w:w="3261" w:type="dxa"/>
            <w:tcBorders>
              <w:top w:val="nil"/>
              <w:left w:val="nil"/>
              <w:bottom w:val="nil"/>
              <w:right w:val="single" w:sz="8" w:space="0" w:color="auto"/>
            </w:tcBorders>
            <w:shd w:val="clear" w:color="000000" w:fill="F4B084"/>
            <w:vAlign w:val="center"/>
            <w:hideMark/>
          </w:tcPr>
          <w:p w14:paraId="56D84364" w14:textId="77777777" w:rsidR="006A4810" w:rsidRPr="00EE3706" w:rsidRDefault="006A4810" w:rsidP="008B31A5">
            <w:pPr>
              <w:spacing w:after="0" w:line="240" w:lineRule="auto"/>
              <w:jc w:val="both"/>
              <w:rPr>
                <w:rFonts w:ascii="Calibri" w:eastAsia="Times New Roman" w:hAnsi="Calibri" w:cs="Calibri"/>
                <w:color w:val="000000"/>
                <w:sz w:val="22"/>
              </w:rPr>
            </w:pPr>
            <w:r>
              <w:rPr>
                <w:rFonts w:ascii="Calibri" w:eastAsia="Times New Roman" w:hAnsi="Calibri" w:cs="Calibri"/>
                <w:color w:val="000000"/>
                <w:sz w:val="22"/>
              </w:rPr>
              <w:t>Property Tax NYC</w:t>
            </w:r>
          </w:p>
        </w:tc>
      </w:tr>
      <w:tr w:rsidR="006A4810" w:rsidRPr="00EE3706" w14:paraId="0895705D" w14:textId="77777777" w:rsidTr="006A4810">
        <w:trPr>
          <w:trHeight w:val="340"/>
          <w:jc w:val="center"/>
        </w:trPr>
        <w:tc>
          <w:tcPr>
            <w:tcW w:w="1516" w:type="dxa"/>
            <w:vMerge/>
            <w:tcBorders>
              <w:left w:val="single" w:sz="8" w:space="0" w:color="auto"/>
              <w:right w:val="single" w:sz="8" w:space="0" w:color="auto"/>
            </w:tcBorders>
            <w:vAlign w:val="center"/>
            <w:hideMark/>
          </w:tcPr>
          <w:p w14:paraId="6D45D022" w14:textId="77777777" w:rsidR="006A4810" w:rsidRPr="00EE3706" w:rsidRDefault="006A4810" w:rsidP="008B31A5">
            <w:pPr>
              <w:spacing w:after="0" w:line="240" w:lineRule="auto"/>
              <w:jc w:val="both"/>
              <w:rPr>
                <w:rFonts w:ascii="Calibri" w:eastAsia="Times New Roman" w:hAnsi="Calibri" w:cs="Calibri"/>
                <w:color w:val="000000"/>
                <w:sz w:val="22"/>
              </w:rPr>
            </w:pPr>
          </w:p>
        </w:tc>
        <w:tc>
          <w:tcPr>
            <w:tcW w:w="3577" w:type="dxa"/>
            <w:vMerge w:val="restart"/>
            <w:tcBorders>
              <w:top w:val="nil"/>
              <w:left w:val="single" w:sz="8" w:space="0" w:color="auto"/>
              <w:bottom w:val="single" w:sz="8" w:space="0" w:color="000000"/>
              <w:right w:val="single" w:sz="8" w:space="0" w:color="auto"/>
            </w:tcBorders>
            <w:shd w:val="clear" w:color="000000" w:fill="F8CBAD"/>
            <w:vAlign w:val="center"/>
            <w:hideMark/>
          </w:tcPr>
          <w:p w14:paraId="2A4EA45C" w14:textId="77777777" w:rsidR="006A4810" w:rsidRPr="00EE3706" w:rsidRDefault="006A4810" w:rsidP="008B31A5">
            <w:pPr>
              <w:spacing w:after="0" w:line="240" w:lineRule="auto"/>
              <w:jc w:val="both"/>
              <w:rPr>
                <w:rFonts w:ascii="Calibri" w:eastAsia="Times New Roman" w:hAnsi="Calibri" w:cs="Calibri"/>
                <w:b/>
                <w:bCs/>
                <w:color w:val="000000"/>
                <w:sz w:val="22"/>
              </w:rPr>
            </w:pPr>
            <w:r w:rsidRPr="00EE3706">
              <w:rPr>
                <w:rFonts w:ascii="Calibri" w:eastAsia="Times New Roman" w:hAnsi="Calibri" w:cs="Calibri"/>
                <w:b/>
                <w:bCs/>
                <w:color w:val="000000"/>
                <w:sz w:val="22"/>
              </w:rPr>
              <w:t xml:space="preserve">Taxes - </w:t>
            </w:r>
            <w:r>
              <w:rPr>
                <w:rFonts w:ascii="Calibri" w:eastAsia="Times New Roman" w:hAnsi="Calibri" w:cs="Calibri"/>
                <w:b/>
                <w:bCs/>
                <w:color w:val="000000"/>
                <w:sz w:val="22"/>
              </w:rPr>
              <w:t>Personal</w:t>
            </w:r>
          </w:p>
        </w:tc>
        <w:tc>
          <w:tcPr>
            <w:tcW w:w="3261" w:type="dxa"/>
            <w:tcBorders>
              <w:top w:val="single" w:sz="8" w:space="0" w:color="auto"/>
              <w:left w:val="nil"/>
              <w:bottom w:val="nil"/>
              <w:right w:val="single" w:sz="8" w:space="0" w:color="auto"/>
            </w:tcBorders>
            <w:shd w:val="clear" w:color="000000" w:fill="F4B084"/>
            <w:vAlign w:val="center"/>
            <w:hideMark/>
          </w:tcPr>
          <w:p w14:paraId="26042894" w14:textId="77777777" w:rsidR="006A4810" w:rsidRPr="00EE3706" w:rsidRDefault="006A4810" w:rsidP="008B31A5">
            <w:pPr>
              <w:spacing w:after="0" w:line="240" w:lineRule="auto"/>
              <w:jc w:val="both"/>
              <w:rPr>
                <w:rFonts w:ascii="Calibri" w:eastAsia="Times New Roman" w:hAnsi="Calibri" w:cs="Calibri"/>
                <w:color w:val="000000"/>
                <w:sz w:val="22"/>
              </w:rPr>
            </w:pPr>
            <w:r w:rsidRPr="00EE3706">
              <w:rPr>
                <w:rFonts w:ascii="Calibri" w:eastAsia="Times New Roman" w:hAnsi="Calibri" w:cs="Calibri"/>
                <w:color w:val="000000"/>
                <w:sz w:val="22"/>
              </w:rPr>
              <w:t>Personal Income Tax</w:t>
            </w:r>
          </w:p>
        </w:tc>
      </w:tr>
      <w:tr w:rsidR="006A4810" w:rsidRPr="00EE3706" w14:paraId="4C17185F" w14:textId="77777777" w:rsidTr="006A4810">
        <w:trPr>
          <w:trHeight w:val="340"/>
          <w:jc w:val="center"/>
        </w:trPr>
        <w:tc>
          <w:tcPr>
            <w:tcW w:w="1516" w:type="dxa"/>
            <w:vMerge/>
            <w:tcBorders>
              <w:left w:val="single" w:sz="8" w:space="0" w:color="auto"/>
              <w:right w:val="single" w:sz="8" w:space="0" w:color="auto"/>
            </w:tcBorders>
            <w:vAlign w:val="center"/>
            <w:hideMark/>
          </w:tcPr>
          <w:p w14:paraId="680454E8" w14:textId="77777777" w:rsidR="006A4810" w:rsidRPr="00EE3706" w:rsidRDefault="006A4810" w:rsidP="008B31A5">
            <w:pPr>
              <w:spacing w:after="0" w:line="240" w:lineRule="auto"/>
              <w:jc w:val="both"/>
              <w:rPr>
                <w:rFonts w:ascii="Calibri" w:eastAsia="Times New Roman" w:hAnsi="Calibri" w:cs="Calibri"/>
                <w:color w:val="000000"/>
                <w:sz w:val="22"/>
              </w:rPr>
            </w:pPr>
          </w:p>
        </w:tc>
        <w:tc>
          <w:tcPr>
            <w:tcW w:w="3577" w:type="dxa"/>
            <w:vMerge/>
            <w:tcBorders>
              <w:top w:val="nil"/>
              <w:left w:val="single" w:sz="8" w:space="0" w:color="auto"/>
              <w:bottom w:val="single" w:sz="8" w:space="0" w:color="000000"/>
              <w:right w:val="single" w:sz="8" w:space="0" w:color="auto"/>
            </w:tcBorders>
            <w:vAlign w:val="center"/>
            <w:hideMark/>
          </w:tcPr>
          <w:p w14:paraId="093A402C" w14:textId="77777777" w:rsidR="006A4810" w:rsidRPr="00EE3706" w:rsidRDefault="006A4810" w:rsidP="008B31A5">
            <w:pPr>
              <w:spacing w:after="0" w:line="240" w:lineRule="auto"/>
              <w:jc w:val="both"/>
              <w:rPr>
                <w:rFonts w:ascii="Calibri" w:eastAsia="Times New Roman" w:hAnsi="Calibri" w:cs="Calibri"/>
                <w:b/>
                <w:bCs/>
                <w:color w:val="000000"/>
                <w:sz w:val="22"/>
              </w:rPr>
            </w:pPr>
          </w:p>
        </w:tc>
        <w:tc>
          <w:tcPr>
            <w:tcW w:w="3261" w:type="dxa"/>
            <w:tcBorders>
              <w:top w:val="single" w:sz="8" w:space="0" w:color="auto"/>
              <w:left w:val="nil"/>
              <w:bottom w:val="single" w:sz="8" w:space="0" w:color="auto"/>
              <w:right w:val="single" w:sz="8" w:space="0" w:color="auto"/>
            </w:tcBorders>
            <w:shd w:val="clear" w:color="000000" w:fill="F4B084"/>
            <w:vAlign w:val="center"/>
            <w:hideMark/>
          </w:tcPr>
          <w:p w14:paraId="1ABC7D14" w14:textId="77777777" w:rsidR="006A4810" w:rsidRPr="00EE3706" w:rsidRDefault="006A4810" w:rsidP="008B31A5">
            <w:pPr>
              <w:spacing w:after="0" w:line="240" w:lineRule="auto"/>
              <w:jc w:val="both"/>
              <w:rPr>
                <w:rFonts w:ascii="Calibri" w:eastAsia="Times New Roman" w:hAnsi="Calibri" w:cs="Calibri"/>
                <w:color w:val="000000"/>
                <w:sz w:val="22"/>
              </w:rPr>
            </w:pPr>
            <w:r>
              <w:rPr>
                <w:rFonts w:ascii="Calibri" w:eastAsia="Times New Roman" w:hAnsi="Calibri" w:cs="Calibri"/>
                <w:color w:val="000000"/>
                <w:sz w:val="22"/>
              </w:rPr>
              <w:t>Property Tax Private</w:t>
            </w:r>
          </w:p>
        </w:tc>
      </w:tr>
      <w:tr w:rsidR="006A4810" w:rsidRPr="00EE3706" w14:paraId="07D58B37" w14:textId="77777777" w:rsidTr="006A4810">
        <w:trPr>
          <w:trHeight w:val="340"/>
          <w:jc w:val="center"/>
        </w:trPr>
        <w:tc>
          <w:tcPr>
            <w:tcW w:w="1516" w:type="dxa"/>
            <w:vMerge/>
            <w:tcBorders>
              <w:left w:val="single" w:sz="8" w:space="0" w:color="auto"/>
              <w:right w:val="single" w:sz="8" w:space="0" w:color="auto"/>
            </w:tcBorders>
            <w:vAlign w:val="center"/>
            <w:hideMark/>
          </w:tcPr>
          <w:p w14:paraId="2D0EBF84" w14:textId="77777777" w:rsidR="006A4810" w:rsidRPr="00EE3706" w:rsidRDefault="006A4810" w:rsidP="008B31A5">
            <w:pPr>
              <w:spacing w:after="0" w:line="240" w:lineRule="auto"/>
              <w:jc w:val="both"/>
              <w:rPr>
                <w:rFonts w:ascii="Calibri" w:eastAsia="Times New Roman" w:hAnsi="Calibri" w:cs="Calibri"/>
                <w:color w:val="000000"/>
                <w:sz w:val="22"/>
              </w:rPr>
            </w:pPr>
          </w:p>
        </w:tc>
        <w:tc>
          <w:tcPr>
            <w:tcW w:w="3577" w:type="dxa"/>
            <w:vMerge w:val="restart"/>
            <w:tcBorders>
              <w:top w:val="nil"/>
              <w:left w:val="nil"/>
              <w:right w:val="single" w:sz="8" w:space="0" w:color="auto"/>
            </w:tcBorders>
            <w:shd w:val="clear" w:color="000000" w:fill="F8CBAD"/>
            <w:vAlign w:val="center"/>
            <w:hideMark/>
          </w:tcPr>
          <w:p w14:paraId="29D5FDFA" w14:textId="77777777" w:rsidR="006A4810" w:rsidRPr="00EE3706" w:rsidRDefault="006A4810" w:rsidP="008B31A5">
            <w:pPr>
              <w:spacing w:after="0" w:line="240" w:lineRule="auto"/>
              <w:jc w:val="both"/>
              <w:rPr>
                <w:rFonts w:ascii="Calibri" w:eastAsia="Times New Roman" w:hAnsi="Calibri" w:cs="Calibri"/>
                <w:b/>
                <w:bCs/>
                <w:color w:val="000000"/>
                <w:sz w:val="22"/>
              </w:rPr>
            </w:pPr>
            <w:r w:rsidRPr="00EE3706">
              <w:rPr>
                <w:rFonts w:ascii="Calibri" w:eastAsia="Times New Roman" w:hAnsi="Calibri" w:cs="Calibri"/>
                <w:b/>
                <w:bCs/>
                <w:color w:val="000000"/>
                <w:sz w:val="22"/>
              </w:rPr>
              <w:t xml:space="preserve">Taxes - </w:t>
            </w:r>
            <w:r>
              <w:rPr>
                <w:rFonts w:ascii="Calibri" w:eastAsia="Times New Roman" w:hAnsi="Calibri" w:cs="Calibri"/>
                <w:b/>
                <w:bCs/>
                <w:color w:val="000000"/>
                <w:sz w:val="22"/>
              </w:rPr>
              <w:t>Corporate</w:t>
            </w:r>
          </w:p>
        </w:tc>
        <w:tc>
          <w:tcPr>
            <w:tcW w:w="3261" w:type="dxa"/>
            <w:tcBorders>
              <w:top w:val="nil"/>
              <w:left w:val="nil"/>
              <w:bottom w:val="single" w:sz="8" w:space="0" w:color="auto"/>
              <w:right w:val="single" w:sz="8" w:space="0" w:color="auto"/>
            </w:tcBorders>
            <w:shd w:val="clear" w:color="000000" w:fill="F4B084"/>
            <w:vAlign w:val="center"/>
            <w:hideMark/>
          </w:tcPr>
          <w:p w14:paraId="117D1D31" w14:textId="77777777" w:rsidR="006A4810" w:rsidRPr="00EE3706" w:rsidRDefault="006A4810" w:rsidP="008B31A5">
            <w:pPr>
              <w:spacing w:after="0" w:line="240" w:lineRule="auto"/>
              <w:jc w:val="both"/>
              <w:rPr>
                <w:rFonts w:ascii="Calibri" w:eastAsia="Times New Roman" w:hAnsi="Calibri" w:cs="Calibri"/>
                <w:color w:val="000000"/>
                <w:sz w:val="22"/>
              </w:rPr>
            </w:pPr>
            <w:r>
              <w:rPr>
                <w:rFonts w:ascii="Calibri" w:eastAsia="Times New Roman" w:hAnsi="Calibri" w:cs="Calibri"/>
                <w:color w:val="000000"/>
                <w:sz w:val="22"/>
              </w:rPr>
              <w:t>Corporate Tax</w:t>
            </w:r>
          </w:p>
        </w:tc>
      </w:tr>
      <w:tr w:rsidR="006A4810" w:rsidRPr="00EE3706" w14:paraId="26B52204" w14:textId="77777777" w:rsidTr="006A4810">
        <w:trPr>
          <w:trHeight w:val="340"/>
          <w:jc w:val="center"/>
        </w:trPr>
        <w:tc>
          <w:tcPr>
            <w:tcW w:w="1516" w:type="dxa"/>
            <w:vMerge/>
            <w:tcBorders>
              <w:left w:val="single" w:sz="8" w:space="0" w:color="auto"/>
              <w:right w:val="single" w:sz="8" w:space="0" w:color="auto"/>
            </w:tcBorders>
            <w:vAlign w:val="center"/>
          </w:tcPr>
          <w:p w14:paraId="264A691D" w14:textId="77777777" w:rsidR="006A4810" w:rsidRPr="00EE3706" w:rsidRDefault="006A4810" w:rsidP="008B31A5">
            <w:pPr>
              <w:spacing w:after="0" w:line="240" w:lineRule="auto"/>
              <w:jc w:val="both"/>
              <w:rPr>
                <w:rFonts w:ascii="Calibri" w:eastAsia="Times New Roman" w:hAnsi="Calibri" w:cs="Calibri"/>
                <w:color w:val="000000"/>
                <w:sz w:val="22"/>
              </w:rPr>
            </w:pPr>
          </w:p>
        </w:tc>
        <w:tc>
          <w:tcPr>
            <w:tcW w:w="3577" w:type="dxa"/>
            <w:vMerge/>
            <w:tcBorders>
              <w:left w:val="nil"/>
              <w:bottom w:val="single" w:sz="8" w:space="0" w:color="auto"/>
              <w:right w:val="single" w:sz="8" w:space="0" w:color="auto"/>
            </w:tcBorders>
            <w:shd w:val="clear" w:color="000000" w:fill="F8CBAD"/>
            <w:vAlign w:val="center"/>
          </w:tcPr>
          <w:p w14:paraId="0FAF56DA" w14:textId="77777777" w:rsidR="006A4810" w:rsidRPr="00EE3706" w:rsidRDefault="006A4810" w:rsidP="008B31A5">
            <w:pPr>
              <w:spacing w:after="0" w:line="240" w:lineRule="auto"/>
              <w:jc w:val="both"/>
              <w:rPr>
                <w:rFonts w:ascii="Calibri" w:eastAsia="Times New Roman" w:hAnsi="Calibri" w:cs="Calibri"/>
                <w:b/>
                <w:bCs/>
                <w:color w:val="000000"/>
                <w:sz w:val="22"/>
              </w:rPr>
            </w:pPr>
          </w:p>
        </w:tc>
        <w:tc>
          <w:tcPr>
            <w:tcW w:w="3261" w:type="dxa"/>
            <w:tcBorders>
              <w:top w:val="nil"/>
              <w:left w:val="nil"/>
              <w:bottom w:val="single" w:sz="8" w:space="0" w:color="auto"/>
              <w:right w:val="single" w:sz="8" w:space="0" w:color="auto"/>
            </w:tcBorders>
            <w:shd w:val="clear" w:color="000000" w:fill="F4B084"/>
            <w:vAlign w:val="center"/>
          </w:tcPr>
          <w:p w14:paraId="54A3B074" w14:textId="77777777" w:rsidR="006A4810" w:rsidRDefault="006A4810" w:rsidP="008B31A5">
            <w:pPr>
              <w:spacing w:after="0" w:line="240" w:lineRule="auto"/>
              <w:jc w:val="both"/>
              <w:rPr>
                <w:rFonts w:ascii="Calibri" w:eastAsia="Times New Roman" w:hAnsi="Calibri" w:cs="Calibri"/>
                <w:color w:val="000000"/>
                <w:sz w:val="22"/>
              </w:rPr>
            </w:pPr>
            <w:r>
              <w:rPr>
                <w:rFonts w:ascii="Calibri" w:eastAsia="Times New Roman" w:hAnsi="Calibri" w:cs="Calibri"/>
                <w:color w:val="000000"/>
                <w:sz w:val="22"/>
              </w:rPr>
              <w:t>Property Tax Corporate</w:t>
            </w:r>
          </w:p>
        </w:tc>
      </w:tr>
      <w:tr w:rsidR="006A4810" w:rsidRPr="00EE3706" w14:paraId="323F4F8A" w14:textId="77777777" w:rsidTr="006A4810">
        <w:trPr>
          <w:trHeight w:val="340"/>
          <w:jc w:val="center"/>
        </w:trPr>
        <w:tc>
          <w:tcPr>
            <w:tcW w:w="1516" w:type="dxa"/>
            <w:vMerge/>
            <w:tcBorders>
              <w:left w:val="single" w:sz="8" w:space="0" w:color="auto"/>
              <w:right w:val="single" w:sz="8" w:space="0" w:color="auto"/>
            </w:tcBorders>
            <w:vAlign w:val="center"/>
            <w:hideMark/>
          </w:tcPr>
          <w:p w14:paraId="0DE6BF0F" w14:textId="77777777" w:rsidR="006A4810" w:rsidRPr="00EE3706" w:rsidRDefault="006A4810" w:rsidP="008B31A5">
            <w:pPr>
              <w:spacing w:after="0" w:line="240" w:lineRule="auto"/>
              <w:jc w:val="both"/>
              <w:rPr>
                <w:rFonts w:ascii="Calibri" w:eastAsia="Times New Roman" w:hAnsi="Calibri" w:cs="Calibri"/>
                <w:color w:val="000000"/>
                <w:sz w:val="22"/>
              </w:rPr>
            </w:pPr>
          </w:p>
        </w:tc>
        <w:tc>
          <w:tcPr>
            <w:tcW w:w="3577" w:type="dxa"/>
            <w:tcBorders>
              <w:top w:val="nil"/>
              <w:left w:val="single" w:sz="8" w:space="0" w:color="auto"/>
              <w:bottom w:val="single" w:sz="8" w:space="0" w:color="000000"/>
              <w:right w:val="single" w:sz="8" w:space="0" w:color="auto"/>
            </w:tcBorders>
            <w:shd w:val="clear" w:color="000000" w:fill="F8CBAD"/>
            <w:vAlign w:val="center"/>
            <w:hideMark/>
          </w:tcPr>
          <w:p w14:paraId="683C607D" w14:textId="77777777" w:rsidR="006A4810" w:rsidRPr="00EE3706" w:rsidRDefault="006A4810" w:rsidP="008B31A5">
            <w:pPr>
              <w:spacing w:after="0" w:line="240" w:lineRule="auto"/>
              <w:jc w:val="both"/>
              <w:rPr>
                <w:rFonts w:ascii="Calibri" w:eastAsia="Times New Roman" w:hAnsi="Calibri" w:cs="Calibri"/>
                <w:b/>
                <w:bCs/>
                <w:color w:val="000000"/>
                <w:sz w:val="22"/>
              </w:rPr>
            </w:pPr>
            <w:r w:rsidRPr="00EE3706">
              <w:rPr>
                <w:rFonts w:ascii="Calibri" w:eastAsia="Times New Roman" w:hAnsi="Calibri" w:cs="Calibri"/>
                <w:b/>
                <w:bCs/>
                <w:color w:val="000000"/>
                <w:sz w:val="22"/>
              </w:rPr>
              <w:t xml:space="preserve">Taxes </w:t>
            </w:r>
            <w:r>
              <w:rPr>
                <w:rFonts w:ascii="Calibri" w:eastAsia="Times New Roman" w:hAnsi="Calibri" w:cs="Calibri"/>
                <w:b/>
                <w:bCs/>
                <w:color w:val="000000"/>
                <w:sz w:val="22"/>
              </w:rPr>
              <w:t>–</w:t>
            </w:r>
            <w:r w:rsidRPr="00EE3706">
              <w:rPr>
                <w:rFonts w:ascii="Calibri" w:eastAsia="Times New Roman" w:hAnsi="Calibri" w:cs="Calibri"/>
                <w:b/>
                <w:bCs/>
                <w:color w:val="000000"/>
                <w:sz w:val="22"/>
              </w:rPr>
              <w:t xml:space="preserve"> </w:t>
            </w:r>
            <w:r>
              <w:rPr>
                <w:rFonts w:ascii="Calibri" w:eastAsia="Times New Roman" w:hAnsi="Calibri" w:cs="Calibri"/>
                <w:b/>
                <w:bCs/>
                <w:color w:val="000000"/>
                <w:sz w:val="22"/>
              </w:rPr>
              <w:t>Goods and Services</w:t>
            </w:r>
          </w:p>
        </w:tc>
        <w:tc>
          <w:tcPr>
            <w:tcW w:w="3261" w:type="dxa"/>
            <w:tcBorders>
              <w:top w:val="single" w:sz="8" w:space="0" w:color="auto"/>
              <w:left w:val="nil"/>
              <w:bottom w:val="single" w:sz="4" w:space="0" w:color="auto"/>
              <w:right w:val="single" w:sz="8" w:space="0" w:color="auto"/>
            </w:tcBorders>
            <w:shd w:val="clear" w:color="000000" w:fill="F4B084"/>
            <w:vAlign w:val="center"/>
          </w:tcPr>
          <w:p w14:paraId="6F4E8488" w14:textId="77777777" w:rsidR="006A4810" w:rsidRPr="00EE3706" w:rsidRDefault="006A4810" w:rsidP="008B31A5">
            <w:pPr>
              <w:spacing w:after="0" w:line="240" w:lineRule="auto"/>
              <w:jc w:val="both"/>
              <w:rPr>
                <w:rFonts w:ascii="Calibri" w:eastAsia="Times New Roman" w:hAnsi="Calibri" w:cs="Calibri"/>
                <w:color w:val="000000"/>
                <w:sz w:val="22"/>
              </w:rPr>
            </w:pPr>
            <w:r>
              <w:rPr>
                <w:rFonts w:ascii="Calibri" w:eastAsia="Times New Roman" w:hAnsi="Calibri" w:cs="Calibri"/>
                <w:color w:val="000000"/>
                <w:sz w:val="22"/>
              </w:rPr>
              <w:t>Goods and Services</w:t>
            </w:r>
          </w:p>
        </w:tc>
      </w:tr>
      <w:tr w:rsidR="006A4810" w:rsidRPr="00EE3706" w14:paraId="30AF7293" w14:textId="77777777" w:rsidTr="006A4810">
        <w:trPr>
          <w:trHeight w:val="340"/>
          <w:jc w:val="center"/>
        </w:trPr>
        <w:tc>
          <w:tcPr>
            <w:tcW w:w="1516" w:type="dxa"/>
            <w:vMerge/>
            <w:tcBorders>
              <w:left w:val="single" w:sz="8" w:space="0" w:color="auto"/>
              <w:right w:val="single" w:sz="8" w:space="0" w:color="auto"/>
            </w:tcBorders>
            <w:vAlign w:val="center"/>
            <w:hideMark/>
          </w:tcPr>
          <w:p w14:paraId="41DB3DF8" w14:textId="77777777" w:rsidR="006A4810" w:rsidRPr="00EE3706" w:rsidRDefault="006A4810" w:rsidP="008B31A5">
            <w:pPr>
              <w:spacing w:after="0" w:line="240" w:lineRule="auto"/>
              <w:jc w:val="both"/>
              <w:rPr>
                <w:rFonts w:ascii="Calibri" w:eastAsia="Times New Roman" w:hAnsi="Calibri" w:cs="Calibri"/>
                <w:color w:val="000000"/>
                <w:sz w:val="22"/>
              </w:rPr>
            </w:pPr>
          </w:p>
        </w:tc>
        <w:tc>
          <w:tcPr>
            <w:tcW w:w="3577" w:type="dxa"/>
            <w:vMerge w:val="restart"/>
            <w:tcBorders>
              <w:top w:val="nil"/>
              <w:left w:val="nil"/>
              <w:right w:val="single" w:sz="8" w:space="0" w:color="auto"/>
            </w:tcBorders>
            <w:shd w:val="clear" w:color="000000" w:fill="F8CBAD"/>
            <w:vAlign w:val="center"/>
            <w:hideMark/>
          </w:tcPr>
          <w:p w14:paraId="12E52EF5" w14:textId="77777777" w:rsidR="006A4810" w:rsidRPr="00EE3706" w:rsidRDefault="006A4810" w:rsidP="008B31A5">
            <w:pPr>
              <w:spacing w:after="0" w:line="240" w:lineRule="auto"/>
              <w:jc w:val="both"/>
              <w:rPr>
                <w:rFonts w:ascii="Calibri" w:eastAsia="Times New Roman" w:hAnsi="Calibri" w:cs="Calibri"/>
                <w:b/>
                <w:bCs/>
                <w:color w:val="000000"/>
                <w:sz w:val="22"/>
              </w:rPr>
            </w:pPr>
            <w:r w:rsidRPr="00EE3706">
              <w:rPr>
                <w:rFonts w:ascii="Calibri" w:eastAsia="Times New Roman" w:hAnsi="Calibri" w:cs="Calibri"/>
                <w:b/>
                <w:bCs/>
                <w:color w:val="000000"/>
                <w:sz w:val="22"/>
              </w:rPr>
              <w:t xml:space="preserve">Taxes </w:t>
            </w:r>
            <w:r>
              <w:rPr>
                <w:rFonts w:ascii="Calibri" w:eastAsia="Times New Roman" w:hAnsi="Calibri" w:cs="Calibri"/>
                <w:b/>
                <w:bCs/>
                <w:color w:val="000000"/>
                <w:sz w:val="22"/>
              </w:rPr>
              <w:t>–</w:t>
            </w:r>
            <w:r w:rsidRPr="00EE3706">
              <w:rPr>
                <w:rFonts w:ascii="Calibri" w:eastAsia="Times New Roman" w:hAnsi="Calibri" w:cs="Calibri"/>
                <w:b/>
                <w:bCs/>
                <w:color w:val="000000"/>
                <w:sz w:val="22"/>
              </w:rPr>
              <w:t xml:space="preserve"> </w:t>
            </w:r>
            <w:r>
              <w:rPr>
                <w:rFonts w:ascii="Calibri" w:eastAsia="Times New Roman" w:hAnsi="Calibri" w:cs="Calibri"/>
                <w:b/>
                <w:bCs/>
                <w:color w:val="000000"/>
                <w:sz w:val="22"/>
              </w:rPr>
              <w:t xml:space="preserve">NYC </w:t>
            </w:r>
            <w:proofErr w:type="spellStart"/>
            <w:r>
              <w:rPr>
                <w:rFonts w:ascii="Calibri" w:eastAsia="Times New Roman" w:hAnsi="Calibri" w:cs="Calibri"/>
                <w:b/>
                <w:bCs/>
                <w:color w:val="000000"/>
                <w:sz w:val="22"/>
              </w:rPr>
              <w:t>PvsC</w:t>
            </w:r>
            <w:proofErr w:type="spellEnd"/>
          </w:p>
        </w:tc>
        <w:tc>
          <w:tcPr>
            <w:tcW w:w="3261" w:type="dxa"/>
            <w:tcBorders>
              <w:top w:val="single" w:sz="4" w:space="0" w:color="auto"/>
              <w:left w:val="nil"/>
              <w:bottom w:val="single" w:sz="4" w:space="0" w:color="auto"/>
              <w:right w:val="single" w:sz="8" w:space="0" w:color="auto"/>
            </w:tcBorders>
            <w:shd w:val="clear" w:color="000000" w:fill="F4B084"/>
            <w:vAlign w:val="center"/>
            <w:hideMark/>
          </w:tcPr>
          <w:p w14:paraId="7D473B00" w14:textId="77777777" w:rsidR="006A4810" w:rsidRPr="00EE3706" w:rsidRDefault="006A4810" w:rsidP="008B31A5">
            <w:pPr>
              <w:spacing w:after="0" w:line="240" w:lineRule="auto"/>
              <w:jc w:val="both"/>
              <w:rPr>
                <w:rFonts w:ascii="Calibri" w:eastAsia="Times New Roman" w:hAnsi="Calibri" w:cs="Calibri"/>
                <w:color w:val="000000"/>
                <w:sz w:val="22"/>
              </w:rPr>
            </w:pPr>
            <w:r>
              <w:rPr>
                <w:rFonts w:ascii="Calibri" w:eastAsia="Times New Roman" w:hAnsi="Calibri" w:cs="Calibri"/>
                <w:color w:val="000000"/>
                <w:sz w:val="22"/>
              </w:rPr>
              <w:t>NYC Tax</w:t>
            </w:r>
          </w:p>
        </w:tc>
      </w:tr>
      <w:tr w:rsidR="006A4810" w:rsidRPr="00EE3706" w14:paraId="0011DFD6" w14:textId="77777777" w:rsidTr="006A4810">
        <w:trPr>
          <w:trHeight w:val="340"/>
          <w:jc w:val="center"/>
        </w:trPr>
        <w:tc>
          <w:tcPr>
            <w:tcW w:w="1516" w:type="dxa"/>
            <w:vMerge/>
            <w:tcBorders>
              <w:left w:val="single" w:sz="8" w:space="0" w:color="auto"/>
              <w:right w:val="single" w:sz="8" w:space="0" w:color="auto"/>
            </w:tcBorders>
            <w:vAlign w:val="center"/>
          </w:tcPr>
          <w:p w14:paraId="55CB49BE" w14:textId="77777777" w:rsidR="006A4810" w:rsidRPr="00EE3706" w:rsidRDefault="006A4810" w:rsidP="008B31A5">
            <w:pPr>
              <w:spacing w:after="0" w:line="240" w:lineRule="auto"/>
              <w:jc w:val="both"/>
              <w:rPr>
                <w:rFonts w:ascii="Calibri" w:eastAsia="Times New Roman" w:hAnsi="Calibri" w:cs="Calibri"/>
                <w:color w:val="000000"/>
                <w:sz w:val="22"/>
              </w:rPr>
            </w:pPr>
          </w:p>
        </w:tc>
        <w:tc>
          <w:tcPr>
            <w:tcW w:w="3577" w:type="dxa"/>
            <w:vMerge/>
            <w:tcBorders>
              <w:left w:val="nil"/>
              <w:right w:val="single" w:sz="8" w:space="0" w:color="auto"/>
            </w:tcBorders>
            <w:shd w:val="clear" w:color="000000" w:fill="F8CBAD"/>
            <w:vAlign w:val="center"/>
          </w:tcPr>
          <w:p w14:paraId="72D8DDC7" w14:textId="77777777" w:rsidR="006A4810" w:rsidRPr="00EE3706" w:rsidRDefault="006A4810" w:rsidP="008B31A5">
            <w:pPr>
              <w:spacing w:after="0" w:line="240" w:lineRule="auto"/>
              <w:jc w:val="both"/>
              <w:rPr>
                <w:rFonts w:ascii="Calibri" w:eastAsia="Times New Roman" w:hAnsi="Calibri" w:cs="Calibri"/>
                <w:b/>
                <w:bCs/>
                <w:color w:val="000000"/>
                <w:sz w:val="22"/>
              </w:rPr>
            </w:pPr>
          </w:p>
        </w:tc>
        <w:tc>
          <w:tcPr>
            <w:tcW w:w="3261" w:type="dxa"/>
            <w:tcBorders>
              <w:top w:val="single" w:sz="4" w:space="0" w:color="auto"/>
              <w:left w:val="nil"/>
              <w:bottom w:val="single" w:sz="4" w:space="0" w:color="auto"/>
              <w:right w:val="single" w:sz="8" w:space="0" w:color="auto"/>
            </w:tcBorders>
            <w:shd w:val="clear" w:color="000000" w:fill="F4B084"/>
            <w:vAlign w:val="center"/>
          </w:tcPr>
          <w:p w14:paraId="04C120BF" w14:textId="77777777" w:rsidR="006A4810" w:rsidRPr="00EE3706" w:rsidRDefault="006A4810" w:rsidP="008B31A5">
            <w:pPr>
              <w:spacing w:after="0" w:line="240" w:lineRule="auto"/>
              <w:jc w:val="both"/>
              <w:rPr>
                <w:rFonts w:ascii="Calibri" w:eastAsia="Times New Roman" w:hAnsi="Calibri" w:cs="Calibri"/>
                <w:color w:val="000000"/>
                <w:sz w:val="22"/>
              </w:rPr>
            </w:pPr>
            <w:r>
              <w:rPr>
                <w:rFonts w:ascii="Calibri" w:eastAsia="Times New Roman" w:hAnsi="Calibri" w:cs="Calibri"/>
                <w:color w:val="000000"/>
                <w:sz w:val="22"/>
              </w:rPr>
              <w:t>Property Tax NYC</w:t>
            </w:r>
          </w:p>
        </w:tc>
      </w:tr>
      <w:tr w:rsidR="006A4810" w:rsidRPr="00EE3706" w14:paraId="5847F8DC" w14:textId="77777777" w:rsidTr="006A4810">
        <w:trPr>
          <w:trHeight w:val="340"/>
          <w:jc w:val="center"/>
        </w:trPr>
        <w:tc>
          <w:tcPr>
            <w:tcW w:w="1516" w:type="dxa"/>
            <w:vMerge/>
            <w:tcBorders>
              <w:left w:val="single" w:sz="8" w:space="0" w:color="auto"/>
              <w:right w:val="single" w:sz="8" w:space="0" w:color="auto"/>
            </w:tcBorders>
            <w:vAlign w:val="center"/>
          </w:tcPr>
          <w:p w14:paraId="48C4BACE" w14:textId="77777777" w:rsidR="006A4810" w:rsidRPr="00EE3706" w:rsidRDefault="006A4810" w:rsidP="008B31A5">
            <w:pPr>
              <w:spacing w:after="0" w:line="240" w:lineRule="auto"/>
              <w:jc w:val="both"/>
              <w:rPr>
                <w:rFonts w:ascii="Calibri" w:eastAsia="Times New Roman" w:hAnsi="Calibri" w:cs="Calibri"/>
                <w:color w:val="000000"/>
                <w:sz w:val="22"/>
              </w:rPr>
            </w:pPr>
          </w:p>
        </w:tc>
        <w:tc>
          <w:tcPr>
            <w:tcW w:w="3577" w:type="dxa"/>
            <w:vMerge/>
            <w:tcBorders>
              <w:left w:val="nil"/>
              <w:bottom w:val="single" w:sz="8" w:space="0" w:color="auto"/>
              <w:right w:val="single" w:sz="8" w:space="0" w:color="auto"/>
            </w:tcBorders>
            <w:shd w:val="clear" w:color="000000" w:fill="F8CBAD"/>
            <w:vAlign w:val="center"/>
          </w:tcPr>
          <w:p w14:paraId="3E3F552B" w14:textId="77777777" w:rsidR="006A4810" w:rsidRPr="00EE3706" w:rsidRDefault="006A4810" w:rsidP="008B31A5">
            <w:pPr>
              <w:spacing w:after="0" w:line="240" w:lineRule="auto"/>
              <w:jc w:val="both"/>
              <w:rPr>
                <w:rFonts w:ascii="Calibri" w:eastAsia="Times New Roman" w:hAnsi="Calibri" w:cs="Calibri"/>
                <w:b/>
                <w:bCs/>
                <w:color w:val="000000"/>
                <w:sz w:val="22"/>
              </w:rPr>
            </w:pPr>
          </w:p>
        </w:tc>
        <w:tc>
          <w:tcPr>
            <w:tcW w:w="3261" w:type="dxa"/>
            <w:tcBorders>
              <w:top w:val="single" w:sz="4" w:space="0" w:color="auto"/>
              <w:left w:val="nil"/>
              <w:bottom w:val="single" w:sz="4" w:space="0" w:color="auto"/>
              <w:right w:val="single" w:sz="8" w:space="0" w:color="auto"/>
            </w:tcBorders>
            <w:shd w:val="clear" w:color="000000" w:fill="F4B084"/>
            <w:vAlign w:val="center"/>
          </w:tcPr>
          <w:p w14:paraId="1EB31C0E" w14:textId="77777777" w:rsidR="006A4810" w:rsidRPr="00EE3706" w:rsidRDefault="006A4810" w:rsidP="008B31A5">
            <w:pPr>
              <w:spacing w:after="0" w:line="240" w:lineRule="auto"/>
              <w:jc w:val="both"/>
              <w:rPr>
                <w:rFonts w:ascii="Calibri" w:eastAsia="Times New Roman" w:hAnsi="Calibri" w:cs="Calibri"/>
                <w:color w:val="000000"/>
                <w:sz w:val="22"/>
              </w:rPr>
            </w:pPr>
            <w:r>
              <w:rPr>
                <w:rFonts w:ascii="Calibri" w:eastAsia="Times New Roman" w:hAnsi="Calibri" w:cs="Calibri"/>
                <w:color w:val="000000"/>
                <w:sz w:val="22"/>
              </w:rPr>
              <w:t xml:space="preserve">NYC </w:t>
            </w:r>
            <w:proofErr w:type="spellStart"/>
            <w:r>
              <w:rPr>
                <w:rFonts w:ascii="Calibri" w:eastAsia="Times New Roman" w:hAnsi="Calibri" w:cs="Calibri"/>
                <w:color w:val="000000"/>
                <w:sz w:val="22"/>
              </w:rPr>
              <w:t>CvsP</w:t>
            </w:r>
            <w:proofErr w:type="spellEnd"/>
          </w:p>
        </w:tc>
      </w:tr>
      <w:tr w:rsidR="006A4810" w:rsidRPr="00EE3706" w14:paraId="1C9B89BD" w14:textId="77777777" w:rsidTr="006A4810">
        <w:trPr>
          <w:trHeight w:val="340"/>
          <w:jc w:val="center"/>
        </w:trPr>
        <w:tc>
          <w:tcPr>
            <w:tcW w:w="1516" w:type="dxa"/>
            <w:vMerge/>
            <w:tcBorders>
              <w:left w:val="single" w:sz="8" w:space="0" w:color="auto"/>
              <w:right w:val="single" w:sz="8" w:space="0" w:color="auto"/>
            </w:tcBorders>
            <w:vAlign w:val="center"/>
            <w:hideMark/>
          </w:tcPr>
          <w:p w14:paraId="5C22FD77" w14:textId="77777777" w:rsidR="006A4810" w:rsidRPr="00EE3706" w:rsidRDefault="006A4810" w:rsidP="008B31A5">
            <w:pPr>
              <w:spacing w:after="0" w:line="240" w:lineRule="auto"/>
              <w:jc w:val="both"/>
              <w:rPr>
                <w:rFonts w:ascii="Calibri" w:eastAsia="Times New Roman" w:hAnsi="Calibri" w:cs="Calibri"/>
                <w:color w:val="000000"/>
                <w:sz w:val="22"/>
              </w:rPr>
            </w:pPr>
          </w:p>
        </w:tc>
        <w:tc>
          <w:tcPr>
            <w:tcW w:w="3577" w:type="dxa"/>
            <w:tcBorders>
              <w:top w:val="nil"/>
              <w:left w:val="single" w:sz="8" w:space="0" w:color="auto"/>
              <w:bottom w:val="single" w:sz="8" w:space="0" w:color="000000"/>
              <w:right w:val="single" w:sz="8" w:space="0" w:color="auto"/>
            </w:tcBorders>
            <w:shd w:val="clear" w:color="000000" w:fill="F8CBAD"/>
            <w:vAlign w:val="center"/>
            <w:hideMark/>
          </w:tcPr>
          <w:p w14:paraId="4562AD80" w14:textId="77777777" w:rsidR="006A4810" w:rsidRPr="00EE3706" w:rsidRDefault="006A4810" w:rsidP="008B31A5">
            <w:pPr>
              <w:spacing w:after="0" w:line="240" w:lineRule="auto"/>
              <w:jc w:val="both"/>
              <w:rPr>
                <w:rFonts w:ascii="Calibri" w:eastAsia="Times New Roman" w:hAnsi="Calibri" w:cs="Calibri"/>
                <w:b/>
                <w:bCs/>
                <w:color w:val="000000"/>
                <w:sz w:val="22"/>
              </w:rPr>
            </w:pPr>
            <w:r w:rsidRPr="00EE3706">
              <w:rPr>
                <w:rFonts w:ascii="Calibri" w:eastAsia="Times New Roman" w:hAnsi="Calibri" w:cs="Calibri"/>
                <w:b/>
                <w:bCs/>
                <w:color w:val="000000"/>
                <w:sz w:val="22"/>
              </w:rPr>
              <w:t xml:space="preserve">Taxes - </w:t>
            </w:r>
            <w:r>
              <w:rPr>
                <w:rFonts w:ascii="Calibri" w:eastAsia="Times New Roman" w:hAnsi="Calibri" w:cs="Calibri"/>
                <w:b/>
                <w:bCs/>
                <w:color w:val="000000"/>
                <w:sz w:val="22"/>
              </w:rPr>
              <w:t>NYC</w:t>
            </w:r>
          </w:p>
        </w:tc>
        <w:tc>
          <w:tcPr>
            <w:tcW w:w="3261" w:type="dxa"/>
            <w:tcBorders>
              <w:top w:val="single" w:sz="4" w:space="0" w:color="auto"/>
              <w:left w:val="nil"/>
              <w:bottom w:val="single" w:sz="4" w:space="0" w:color="auto"/>
              <w:right w:val="single" w:sz="8" w:space="0" w:color="auto"/>
            </w:tcBorders>
            <w:shd w:val="clear" w:color="000000" w:fill="F4B084"/>
            <w:vAlign w:val="center"/>
            <w:hideMark/>
          </w:tcPr>
          <w:p w14:paraId="75A6D739" w14:textId="77777777" w:rsidR="006A4810" w:rsidRPr="00EE3706" w:rsidRDefault="006A4810" w:rsidP="008B31A5">
            <w:pPr>
              <w:spacing w:after="0" w:line="240" w:lineRule="auto"/>
              <w:jc w:val="both"/>
              <w:rPr>
                <w:rFonts w:ascii="Calibri" w:eastAsia="Times New Roman" w:hAnsi="Calibri" w:cs="Calibri"/>
                <w:color w:val="000000"/>
                <w:sz w:val="22"/>
              </w:rPr>
            </w:pPr>
            <w:r>
              <w:rPr>
                <w:rFonts w:ascii="Calibri" w:eastAsia="Times New Roman" w:hAnsi="Calibri" w:cs="Calibri"/>
                <w:color w:val="000000"/>
                <w:sz w:val="22"/>
              </w:rPr>
              <w:t>NYC Tax</w:t>
            </w:r>
          </w:p>
        </w:tc>
      </w:tr>
      <w:tr w:rsidR="006A4810" w:rsidRPr="00EE3706" w14:paraId="6BD77E61" w14:textId="77777777" w:rsidTr="006A4810">
        <w:trPr>
          <w:trHeight w:val="340"/>
          <w:jc w:val="center"/>
        </w:trPr>
        <w:tc>
          <w:tcPr>
            <w:tcW w:w="1516" w:type="dxa"/>
            <w:vMerge/>
            <w:tcBorders>
              <w:left w:val="single" w:sz="8" w:space="0" w:color="auto"/>
              <w:bottom w:val="single" w:sz="8" w:space="0" w:color="000000"/>
              <w:right w:val="single" w:sz="8" w:space="0" w:color="auto"/>
            </w:tcBorders>
            <w:vAlign w:val="center"/>
          </w:tcPr>
          <w:p w14:paraId="15FFDE05" w14:textId="77777777" w:rsidR="006A4810" w:rsidRPr="00EE3706" w:rsidRDefault="006A4810" w:rsidP="008B31A5">
            <w:pPr>
              <w:spacing w:after="0" w:line="240" w:lineRule="auto"/>
              <w:jc w:val="both"/>
              <w:rPr>
                <w:rFonts w:ascii="Calibri" w:eastAsia="Times New Roman" w:hAnsi="Calibri" w:cs="Calibri"/>
                <w:color w:val="000000"/>
                <w:sz w:val="22"/>
              </w:rPr>
            </w:pPr>
          </w:p>
        </w:tc>
        <w:tc>
          <w:tcPr>
            <w:tcW w:w="3577" w:type="dxa"/>
            <w:tcBorders>
              <w:top w:val="nil"/>
              <w:left w:val="single" w:sz="8" w:space="0" w:color="auto"/>
              <w:bottom w:val="single" w:sz="8" w:space="0" w:color="000000"/>
              <w:right w:val="single" w:sz="8" w:space="0" w:color="auto"/>
            </w:tcBorders>
            <w:shd w:val="clear" w:color="000000" w:fill="F8CBAD"/>
            <w:vAlign w:val="center"/>
          </w:tcPr>
          <w:p w14:paraId="13F52ECD" w14:textId="77777777" w:rsidR="006A4810" w:rsidRPr="00EE3706" w:rsidRDefault="006A4810" w:rsidP="008B31A5">
            <w:pPr>
              <w:spacing w:after="0" w:line="240" w:lineRule="auto"/>
              <w:jc w:val="both"/>
              <w:rPr>
                <w:rFonts w:ascii="Calibri" w:eastAsia="Times New Roman" w:hAnsi="Calibri" w:cs="Calibri"/>
                <w:b/>
                <w:bCs/>
                <w:color w:val="000000"/>
                <w:sz w:val="22"/>
              </w:rPr>
            </w:pPr>
            <w:r>
              <w:rPr>
                <w:rFonts w:ascii="Calibri" w:eastAsia="Times New Roman" w:hAnsi="Calibri" w:cs="Calibri"/>
                <w:b/>
                <w:bCs/>
                <w:color w:val="000000"/>
                <w:sz w:val="22"/>
              </w:rPr>
              <w:t>Taxes - Other</w:t>
            </w:r>
          </w:p>
        </w:tc>
        <w:tc>
          <w:tcPr>
            <w:tcW w:w="3261" w:type="dxa"/>
            <w:tcBorders>
              <w:top w:val="single" w:sz="4" w:space="0" w:color="auto"/>
              <w:left w:val="nil"/>
              <w:bottom w:val="single" w:sz="4" w:space="0" w:color="auto"/>
              <w:right w:val="single" w:sz="8" w:space="0" w:color="auto"/>
            </w:tcBorders>
            <w:shd w:val="clear" w:color="000000" w:fill="F4B084"/>
            <w:vAlign w:val="center"/>
          </w:tcPr>
          <w:p w14:paraId="40111ECD" w14:textId="77777777" w:rsidR="006A4810" w:rsidRDefault="006A4810" w:rsidP="008B31A5">
            <w:pPr>
              <w:spacing w:after="0" w:line="240" w:lineRule="auto"/>
              <w:jc w:val="both"/>
              <w:rPr>
                <w:rFonts w:ascii="Calibri" w:eastAsia="Times New Roman" w:hAnsi="Calibri" w:cs="Calibri"/>
                <w:color w:val="000000"/>
                <w:sz w:val="22"/>
              </w:rPr>
            </w:pPr>
            <w:r>
              <w:rPr>
                <w:rFonts w:ascii="Calibri" w:eastAsia="Times New Roman" w:hAnsi="Calibri" w:cs="Calibri"/>
                <w:color w:val="000000"/>
                <w:sz w:val="22"/>
              </w:rPr>
              <w:t>Other Tax</w:t>
            </w:r>
          </w:p>
        </w:tc>
      </w:tr>
      <w:tr w:rsidR="00B2704A" w:rsidRPr="00EE3706" w14:paraId="15D046CB" w14:textId="77777777" w:rsidTr="006A4810">
        <w:trPr>
          <w:trHeight w:val="340"/>
          <w:jc w:val="center"/>
        </w:trPr>
        <w:tc>
          <w:tcPr>
            <w:tcW w:w="1516" w:type="dxa"/>
            <w:vMerge w:val="restart"/>
            <w:tcBorders>
              <w:top w:val="nil"/>
              <w:left w:val="single" w:sz="8" w:space="0" w:color="auto"/>
              <w:bottom w:val="single" w:sz="8" w:space="0" w:color="000000"/>
              <w:right w:val="single" w:sz="8" w:space="0" w:color="auto"/>
            </w:tcBorders>
            <w:shd w:val="clear" w:color="000000" w:fill="FCE4D6"/>
            <w:vAlign w:val="center"/>
            <w:hideMark/>
          </w:tcPr>
          <w:p w14:paraId="45183C42" w14:textId="77777777" w:rsidR="00B2704A" w:rsidRPr="00EE3706" w:rsidRDefault="00B2704A" w:rsidP="008B31A5">
            <w:pPr>
              <w:spacing w:after="0" w:line="240" w:lineRule="auto"/>
              <w:jc w:val="both"/>
              <w:rPr>
                <w:rFonts w:ascii="Calibri" w:eastAsia="Times New Roman" w:hAnsi="Calibri" w:cs="Calibri"/>
                <w:color w:val="000000"/>
                <w:sz w:val="22"/>
              </w:rPr>
            </w:pPr>
            <w:r w:rsidRPr="00EE3706">
              <w:rPr>
                <w:rFonts w:ascii="Calibri" w:eastAsia="Times New Roman" w:hAnsi="Calibri" w:cs="Calibri"/>
                <w:color w:val="000000"/>
                <w:sz w:val="22"/>
              </w:rPr>
              <w:t>Spending</w:t>
            </w:r>
          </w:p>
        </w:tc>
        <w:tc>
          <w:tcPr>
            <w:tcW w:w="3577" w:type="dxa"/>
            <w:tcBorders>
              <w:top w:val="nil"/>
              <w:left w:val="nil"/>
              <w:bottom w:val="single" w:sz="8" w:space="0" w:color="auto"/>
              <w:right w:val="single" w:sz="8" w:space="0" w:color="auto"/>
            </w:tcBorders>
            <w:shd w:val="clear" w:color="000000" w:fill="F8CBAD"/>
            <w:vAlign w:val="center"/>
            <w:hideMark/>
          </w:tcPr>
          <w:p w14:paraId="4DCC94E8" w14:textId="77777777" w:rsidR="00B2704A" w:rsidRPr="00EE3706" w:rsidRDefault="00B2704A" w:rsidP="008B31A5">
            <w:pPr>
              <w:spacing w:after="0" w:line="240" w:lineRule="auto"/>
              <w:jc w:val="both"/>
              <w:rPr>
                <w:rFonts w:ascii="Calibri" w:eastAsia="Times New Roman" w:hAnsi="Calibri" w:cs="Calibri"/>
                <w:b/>
                <w:bCs/>
                <w:color w:val="000000"/>
                <w:sz w:val="22"/>
              </w:rPr>
            </w:pPr>
            <w:r w:rsidRPr="00EE3706">
              <w:rPr>
                <w:rFonts w:ascii="Calibri" w:eastAsia="Times New Roman" w:hAnsi="Calibri" w:cs="Calibri"/>
                <w:b/>
                <w:bCs/>
                <w:color w:val="000000"/>
                <w:sz w:val="22"/>
              </w:rPr>
              <w:t>Spending - Consumption</w:t>
            </w:r>
          </w:p>
        </w:tc>
        <w:tc>
          <w:tcPr>
            <w:tcW w:w="3261" w:type="dxa"/>
            <w:tcBorders>
              <w:top w:val="single" w:sz="4" w:space="0" w:color="auto"/>
              <w:left w:val="nil"/>
              <w:bottom w:val="single" w:sz="8" w:space="0" w:color="auto"/>
              <w:right w:val="single" w:sz="8" w:space="0" w:color="auto"/>
            </w:tcBorders>
            <w:shd w:val="clear" w:color="000000" w:fill="F4B084"/>
            <w:vAlign w:val="center"/>
            <w:hideMark/>
          </w:tcPr>
          <w:p w14:paraId="3C795575" w14:textId="77777777" w:rsidR="00B2704A" w:rsidRPr="00EE3706" w:rsidRDefault="00B2704A" w:rsidP="008B31A5">
            <w:pPr>
              <w:spacing w:after="0" w:line="240" w:lineRule="auto"/>
              <w:jc w:val="both"/>
              <w:rPr>
                <w:rFonts w:ascii="Calibri" w:eastAsia="Times New Roman" w:hAnsi="Calibri" w:cs="Calibri"/>
                <w:color w:val="000000"/>
                <w:sz w:val="22"/>
              </w:rPr>
            </w:pPr>
            <w:r w:rsidRPr="00EE3706">
              <w:rPr>
                <w:rFonts w:ascii="Calibri" w:eastAsia="Times New Roman" w:hAnsi="Calibri" w:cs="Calibri"/>
                <w:color w:val="000000"/>
                <w:sz w:val="22"/>
              </w:rPr>
              <w:t>Consumption</w:t>
            </w:r>
          </w:p>
        </w:tc>
      </w:tr>
      <w:tr w:rsidR="006A4810" w:rsidRPr="00EE3706" w14:paraId="425D4476" w14:textId="77777777" w:rsidTr="006A4810">
        <w:trPr>
          <w:trHeight w:val="340"/>
          <w:jc w:val="center"/>
        </w:trPr>
        <w:tc>
          <w:tcPr>
            <w:tcW w:w="1516" w:type="dxa"/>
            <w:vMerge/>
            <w:tcBorders>
              <w:top w:val="nil"/>
              <w:left w:val="single" w:sz="8" w:space="0" w:color="auto"/>
              <w:bottom w:val="single" w:sz="8" w:space="0" w:color="000000"/>
              <w:right w:val="single" w:sz="8" w:space="0" w:color="auto"/>
            </w:tcBorders>
            <w:vAlign w:val="center"/>
            <w:hideMark/>
          </w:tcPr>
          <w:p w14:paraId="723892B0" w14:textId="77777777" w:rsidR="006A4810" w:rsidRPr="00EE3706" w:rsidRDefault="006A4810" w:rsidP="008B31A5">
            <w:pPr>
              <w:spacing w:after="0" w:line="240" w:lineRule="auto"/>
              <w:jc w:val="both"/>
              <w:rPr>
                <w:rFonts w:ascii="Calibri" w:eastAsia="Times New Roman" w:hAnsi="Calibri" w:cs="Calibri"/>
                <w:color w:val="000000"/>
                <w:sz w:val="22"/>
              </w:rPr>
            </w:pPr>
          </w:p>
        </w:tc>
        <w:tc>
          <w:tcPr>
            <w:tcW w:w="3577" w:type="dxa"/>
            <w:tcBorders>
              <w:top w:val="nil"/>
              <w:left w:val="nil"/>
              <w:bottom w:val="single" w:sz="8" w:space="0" w:color="auto"/>
              <w:right w:val="single" w:sz="8" w:space="0" w:color="auto"/>
            </w:tcBorders>
            <w:shd w:val="clear" w:color="000000" w:fill="F8CBAD"/>
            <w:vAlign w:val="center"/>
            <w:hideMark/>
          </w:tcPr>
          <w:p w14:paraId="7F606BEF" w14:textId="77777777" w:rsidR="006A4810" w:rsidRPr="00EE3706" w:rsidRDefault="006A4810" w:rsidP="008B31A5">
            <w:pPr>
              <w:spacing w:after="0" w:line="240" w:lineRule="auto"/>
              <w:jc w:val="both"/>
              <w:rPr>
                <w:rFonts w:ascii="Calibri" w:eastAsia="Times New Roman" w:hAnsi="Calibri" w:cs="Calibri"/>
                <w:b/>
                <w:bCs/>
                <w:color w:val="000000"/>
                <w:sz w:val="22"/>
              </w:rPr>
            </w:pPr>
            <w:r w:rsidRPr="00EE3706">
              <w:rPr>
                <w:rFonts w:ascii="Calibri" w:eastAsia="Times New Roman" w:hAnsi="Calibri" w:cs="Calibri"/>
                <w:b/>
                <w:bCs/>
                <w:color w:val="000000"/>
                <w:sz w:val="22"/>
              </w:rPr>
              <w:t>Spending - Salaries</w:t>
            </w:r>
          </w:p>
        </w:tc>
        <w:tc>
          <w:tcPr>
            <w:tcW w:w="3261" w:type="dxa"/>
            <w:tcBorders>
              <w:top w:val="nil"/>
              <w:left w:val="nil"/>
              <w:bottom w:val="single" w:sz="8" w:space="0" w:color="auto"/>
              <w:right w:val="single" w:sz="8" w:space="0" w:color="auto"/>
            </w:tcBorders>
            <w:shd w:val="clear" w:color="000000" w:fill="F4B084"/>
            <w:vAlign w:val="center"/>
            <w:hideMark/>
          </w:tcPr>
          <w:p w14:paraId="3119B5B9" w14:textId="77777777" w:rsidR="006A4810" w:rsidRPr="00EE3706" w:rsidRDefault="006A4810" w:rsidP="008B31A5">
            <w:pPr>
              <w:spacing w:after="0" w:line="240" w:lineRule="auto"/>
              <w:jc w:val="both"/>
              <w:rPr>
                <w:rFonts w:ascii="Calibri" w:eastAsia="Times New Roman" w:hAnsi="Calibri" w:cs="Calibri"/>
                <w:color w:val="000000"/>
                <w:sz w:val="22"/>
              </w:rPr>
            </w:pPr>
            <w:r w:rsidRPr="00EE3706">
              <w:rPr>
                <w:rFonts w:ascii="Calibri" w:eastAsia="Times New Roman" w:hAnsi="Calibri" w:cs="Calibri"/>
                <w:color w:val="000000"/>
                <w:sz w:val="22"/>
              </w:rPr>
              <w:t>Salaries</w:t>
            </w:r>
          </w:p>
        </w:tc>
      </w:tr>
      <w:tr w:rsidR="00B2704A" w:rsidRPr="00EE3706" w14:paraId="2027C3BF" w14:textId="77777777" w:rsidTr="006A4810">
        <w:trPr>
          <w:trHeight w:val="340"/>
          <w:jc w:val="center"/>
        </w:trPr>
        <w:tc>
          <w:tcPr>
            <w:tcW w:w="1516" w:type="dxa"/>
            <w:vMerge/>
            <w:tcBorders>
              <w:top w:val="nil"/>
              <w:left w:val="single" w:sz="8" w:space="0" w:color="auto"/>
              <w:bottom w:val="single" w:sz="8" w:space="0" w:color="000000"/>
              <w:right w:val="single" w:sz="8" w:space="0" w:color="auto"/>
            </w:tcBorders>
            <w:vAlign w:val="center"/>
            <w:hideMark/>
          </w:tcPr>
          <w:p w14:paraId="0F183CEF" w14:textId="77777777" w:rsidR="00B2704A" w:rsidRPr="00EE3706" w:rsidRDefault="00B2704A" w:rsidP="008B31A5">
            <w:pPr>
              <w:spacing w:after="0" w:line="240" w:lineRule="auto"/>
              <w:jc w:val="both"/>
              <w:rPr>
                <w:rFonts w:ascii="Calibri" w:eastAsia="Times New Roman" w:hAnsi="Calibri" w:cs="Calibri"/>
                <w:color w:val="000000"/>
                <w:sz w:val="22"/>
              </w:rPr>
            </w:pPr>
          </w:p>
        </w:tc>
        <w:tc>
          <w:tcPr>
            <w:tcW w:w="3577" w:type="dxa"/>
            <w:tcBorders>
              <w:top w:val="nil"/>
              <w:left w:val="nil"/>
              <w:bottom w:val="single" w:sz="8" w:space="0" w:color="auto"/>
              <w:right w:val="single" w:sz="8" w:space="0" w:color="auto"/>
            </w:tcBorders>
            <w:shd w:val="clear" w:color="000000" w:fill="F8CBAD"/>
            <w:vAlign w:val="center"/>
            <w:hideMark/>
          </w:tcPr>
          <w:p w14:paraId="2FE65D0A" w14:textId="77777777" w:rsidR="00B2704A" w:rsidRPr="00EE3706" w:rsidRDefault="00B2704A" w:rsidP="008B31A5">
            <w:pPr>
              <w:spacing w:after="0" w:line="240" w:lineRule="auto"/>
              <w:jc w:val="both"/>
              <w:rPr>
                <w:rFonts w:ascii="Calibri" w:eastAsia="Times New Roman" w:hAnsi="Calibri" w:cs="Calibri"/>
                <w:b/>
                <w:bCs/>
                <w:color w:val="000000"/>
                <w:sz w:val="22"/>
              </w:rPr>
            </w:pPr>
            <w:r w:rsidRPr="00EE3706">
              <w:rPr>
                <w:rFonts w:ascii="Calibri" w:eastAsia="Times New Roman" w:hAnsi="Calibri" w:cs="Calibri"/>
                <w:b/>
                <w:bCs/>
                <w:color w:val="000000"/>
                <w:sz w:val="22"/>
              </w:rPr>
              <w:t xml:space="preserve">Spending - </w:t>
            </w:r>
            <w:r w:rsidR="006A4810">
              <w:rPr>
                <w:rFonts w:ascii="Calibri" w:eastAsia="Times New Roman" w:hAnsi="Calibri" w:cs="Calibri"/>
                <w:b/>
                <w:bCs/>
                <w:color w:val="000000"/>
                <w:sz w:val="22"/>
              </w:rPr>
              <w:t>Investments</w:t>
            </w:r>
          </w:p>
        </w:tc>
        <w:tc>
          <w:tcPr>
            <w:tcW w:w="3261" w:type="dxa"/>
            <w:tcBorders>
              <w:top w:val="nil"/>
              <w:left w:val="nil"/>
              <w:bottom w:val="single" w:sz="8" w:space="0" w:color="auto"/>
              <w:right w:val="single" w:sz="8" w:space="0" w:color="auto"/>
            </w:tcBorders>
            <w:shd w:val="clear" w:color="000000" w:fill="F4B084"/>
            <w:vAlign w:val="center"/>
            <w:hideMark/>
          </w:tcPr>
          <w:p w14:paraId="338C15A9" w14:textId="77777777" w:rsidR="00B2704A" w:rsidRPr="00EE3706" w:rsidRDefault="006A4810" w:rsidP="008B31A5">
            <w:pPr>
              <w:spacing w:after="0" w:line="240" w:lineRule="auto"/>
              <w:jc w:val="both"/>
              <w:rPr>
                <w:rFonts w:ascii="Calibri" w:eastAsia="Times New Roman" w:hAnsi="Calibri" w:cs="Calibri"/>
                <w:color w:val="000000"/>
                <w:sz w:val="22"/>
              </w:rPr>
            </w:pPr>
            <w:r>
              <w:rPr>
                <w:rFonts w:ascii="Calibri" w:eastAsia="Times New Roman" w:hAnsi="Calibri" w:cs="Calibri"/>
                <w:color w:val="000000"/>
                <w:sz w:val="22"/>
              </w:rPr>
              <w:t>Investment</w:t>
            </w:r>
          </w:p>
        </w:tc>
      </w:tr>
      <w:tr w:rsidR="00B2704A" w:rsidRPr="00EE3706" w14:paraId="4A580A06" w14:textId="77777777" w:rsidTr="006A4810">
        <w:trPr>
          <w:trHeight w:val="340"/>
          <w:jc w:val="center"/>
        </w:trPr>
        <w:tc>
          <w:tcPr>
            <w:tcW w:w="1516" w:type="dxa"/>
            <w:vMerge/>
            <w:tcBorders>
              <w:top w:val="nil"/>
              <w:left w:val="single" w:sz="8" w:space="0" w:color="auto"/>
              <w:bottom w:val="single" w:sz="8" w:space="0" w:color="000000"/>
              <w:right w:val="single" w:sz="8" w:space="0" w:color="auto"/>
            </w:tcBorders>
            <w:vAlign w:val="center"/>
            <w:hideMark/>
          </w:tcPr>
          <w:p w14:paraId="308D3793" w14:textId="77777777" w:rsidR="00B2704A" w:rsidRPr="00EE3706" w:rsidRDefault="00B2704A" w:rsidP="008B31A5">
            <w:pPr>
              <w:spacing w:after="0" w:line="240" w:lineRule="auto"/>
              <w:jc w:val="both"/>
              <w:rPr>
                <w:rFonts w:ascii="Calibri" w:eastAsia="Times New Roman" w:hAnsi="Calibri" w:cs="Calibri"/>
                <w:color w:val="000000"/>
                <w:sz w:val="22"/>
              </w:rPr>
            </w:pPr>
          </w:p>
        </w:tc>
        <w:tc>
          <w:tcPr>
            <w:tcW w:w="3577" w:type="dxa"/>
            <w:tcBorders>
              <w:top w:val="nil"/>
              <w:left w:val="nil"/>
              <w:bottom w:val="single" w:sz="8" w:space="0" w:color="auto"/>
              <w:right w:val="single" w:sz="8" w:space="0" w:color="auto"/>
            </w:tcBorders>
            <w:shd w:val="clear" w:color="000000" w:fill="F8CBAD"/>
            <w:vAlign w:val="center"/>
            <w:hideMark/>
          </w:tcPr>
          <w:p w14:paraId="3499DD4B" w14:textId="77777777" w:rsidR="00B2704A" w:rsidRPr="00EE3706" w:rsidRDefault="00B2704A" w:rsidP="008B31A5">
            <w:pPr>
              <w:spacing w:after="0" w:line="240" w:lineRule="auto"/>
              <w:jc w:val="both"/>
              <w:rPr>
                <w:rFonts w:ascii="Calibri" w:eastAsia="Times New Roman" w:hAnsi="Calibri" w:cs="Calibri"/>
                <w:b/>
                <w:bCs/>
                <w:color w:val="000000"/>
                <w:sz w:val="22"/>
              </w:rPr>
            </w:pPr>
            <w:r w:rsidRPr="00EE3706">
              <w:rPr>
                <w:rFonts w:ascii="Calibri" w:eastAsia="Times New Roman" w:hAnsi="Calibri" w:cs="Calibri"/>
                <w:b/>
                <w:bCs/>
                <w:color w:val="000000"/>
                <w:sz w:val="22"/>
              </w:rPr>
              <w:t xml:space="preserve">Spending - </w:t>
            </w:r>
            <w:r w:rsidR="006A4810">
              <w:rPr>
                <w:rFonts w:ascii="Calibri" w:eastAsia="Times New Roman" w:hAnsi="Calibri" w:cs="Calibri"/>
                <w:b/>
                <w:bCs/>
                <w:color w:val="000000"/>
                <w:sz w:val="22"/>
              </w:rPr>
              <w:t>Transfers</w:t>
            </w:r>
          </w:p>
        </w:tc>
        <w:tc>
          <w:tcPr>
            <w:tcW w:w="3261" w:type="dxa"/>
            <w:tcBorders>
              <w:top w:val="nil"/>
              <w:left w:val="nil"/>
              <w:bottom w:val="single" w:sz="8" w:space="0" w:color="auto"/>
              <w:right w:val="single" w:sz="8" w:space="0" w:color="auto"/>
            </w:tcBorders>
            <w:shd w:val="clear" w:color="000000" w:fill="F4B084"/>
            <w:vAlign w:val="center"/>
            <w:hideMark/>
          </w:tcPr>
          <w:p w14:paraId="0DCB4663" w14:textId="77777777" w:rsidR="00B2704A" w:rsidRPr="00EE3706" w:rsidRDefault="006A4810" w:rsidP="008B31A5">
            <w:pPr>
              <w:spacing w:after="0" w:line="240" w:lineRule="auto"/>
              <w:jc w:val="both"/>
              <w:rPr>
                <w:rFonts w:ascii="Calibri" w:eastAsia="Times New Roman" w:hAnsi="Calibri" w:cs="Calibri"/>
                <w:color w:val="000000"/>
                <w:sz w:val="22"/>
              </w:rPr>
            </w:pPr>
            <w:r>
              <w:rPr>
                <w:rFonts w:ascii="Calibri" w:eastAsia="Times New Roman" w:hAnsi="Calibri" w:cs="Calibri"/>
                <w:color w:val="000000"/>
                <w:sz w:val="22"/>
              </w:rPr>
              <w:t>Transfers</w:t>
            </w:r>
          </w:p>
        </w:tc>
      </w:tr>
      <w:tr w:rsidR="00B2704A" w:rsidRPr="00EE3706" w14:paraId="61246C76" w14:textId="77777777" w:rsidTr="006A4810">
        <w:trPr>
          <w:trHeight w:val="340"/>
          <w:jc w:val="center"/>
        </w:trPr>
        <w:tc>
          <w:tcPr>
            <w:tcW w:w="1516" w:type="dxa"/>
            <w:vMerge/>
            <w:tcBorders>
              <w:top w:val="nil"/>
              <w:left w:val="single" w:sz="8" w:space="0" w:color="auto"/>
              <w:bottom w:val="single" w:sz="8" w:space="0" w:color="000000"/>
              <w:right w:val="single" w:sz="8" w:space="0" w:color="auto"/>
            </w:tcBorders>
            <w:vAlign w:val="center"/>
            <w:hideMark/>
          </w:tcPr>
          <w:p w14:paraId="2E855BA7" w14:textId="77777777" w:rsidR="00B2704A" w:rsidRPr="00EE3706" w:rsidRDefault="00B2704A" w:rsidP="008B31A5">
            <w:pPr>
              <w:spacing w:after="0" w:line="240" w:lineRule="auto"/>
              <w:jc w:val="both"/>
              <w:rPr>
                <w:rFonts w:ascii="Calibri" w:eastAsia="Times New Roman" w:hAnsi="Calibri" w:cs="Calibri"/>
                <w:color w:val="000000"/>
                <w:sz w:val="22"/>
              </w:rPr>
            </w:pPr>
          </w:p>
        </w:tc>
        <w:tc>
          <w:tcPr>
            <w:tcW w:w="3577" w:type="dxa"/>
            <w:tcBorders>
              <w:top w:val="nil"/>
              <w:left w:val="nil"/>
              <w:bottom w:val="single" w:sz="8" w:space="0" w:color="auto"/>
              <w:right w:val="single" w:sz="8" w:space="0" w:color="auto"/>
            </w:tcBorders>
            <w:shd w:val="clear" w:color="000000" w:fill="F8CBAD"/>
            <w:vAlign w:val="center"/>
          </w:tcPr>
          <w:p w14:paraId="4D19D67B" w14:textId="77777777" w:rsidR="00B2704A" w:rsidRPr="00EE3706" w:rsidRDefault="006A4810" w:rsidP="008B31A5">
            <w:pPr>
              <w:spacing w:after="0" w:line="240" w:lineRule="auto"/>
              <w:jc w:val="both"/>
              <w:rPr>
                <w:rFonts w:ascii="Calibri" w:eastAsia="Times New Roman" w:hAnsi="Calibri" w:cs="Calibri"/>
                <w:b/>
                <w:bCs/>
                <w:color w:val="000000"/>
                <w:sz w:val="22"/>
              </w:rPr>
            </w:pPr>
            <w:r>
              <w:rPr>
                <w:rFonts w:ascii="Calibri" w:eastAsia="Times New Roman" w:hAnsi="Calibri" w:cs="Calibri"/>
                <w:b/>
                <w:bCs/>
                <w:color w:val="000000"/>
                <w:sz w:val="22"/>
              </w:rPr>
              <w:t>Spending – Not yet classified</w:t>
            </w:r>
          </w:p>
        </w:tc>
        <w:tc>
          <w:tcPr>
            <w:tcW w:w="3261" w:type="dxa"/>
            <w:tcBorders>
              <w:top w:val="nil"/>
              <w:left w:val="nil"/>
              <w:bottom w:val="single" w:sz="8" w:space="0" w:color="auto"/>
              <w:right w:val="single" w:sz="8" w:space="0" w:color="auto"/>
            </w:tcBorders>
            <w:shd w:val="clear" w:color="000000" w:fill="F4B084"/>
            <w:vAlign w:val="center"/>
          </w:tcPr>
          <w:p w14:paraId="73460B17" w14:textId="77777777" w:rsidR="00B2704A" w:rsidRPr="00EE3706" w:rsidRDefault="006A4810" w:rsidP="008B31A5">
            <w:pPr>
              <w:spacing w:after="0" w:line="240" w:lineRule="auto"/>
              <w:jc w:val="both"/>
              <w:rPr>
                <w:rFonts w:ascii="Calibri" w:eastAsia="Times New Roman" w:hAnsi="Calibri" w:cs="Calibri"/>
                <w:color w:val="000000"/>
                <w:sz w:val="22"/>
              </w:rPr>
            </w:pPr>
            <w:r>
              <w:rPr>
                <w:rFonts w:ascii="Calibri" w:eastAsia="Times New Roman" w:hAnsi="Calibri" w:cs="Calibri"/>
                <w:color w:val="000000"/>
                <w:sz w:val="22"/>
              </w:rPr>
              <w:t>NYC Spending</w:t>
            </w:r>
          </w:p>
        </w:tc>
      </w:tr>
      <w:tr w:rsidR="006A4810" w:rsidRPr="00EE3706" w14:paraId="3AB8A88E" w14:textId="77777777" w:rsidTr="006A4810">
        <w:trPr>
          <w:trHeight w:val="340"/>
          <w:jc w:val="center"/>
        </w:trPr>
        <w:tc>
          <w:tcPr>
            <w:tcW w:w="1516" w:type="dxa"/>
            <w:vMerge/>
            <w:tcBorders>
              <w:top w:val="nil"/>
              <w:left w:val="single" w:sz="8" w:space="0" w:color="auto"/>
              <w:bottom w:val="single" w:sz="8" w:space="0" w:color="000000"/>
              <w:right w:val="single" w:sz="8" w:space="0" w:color="auto"/>
            </w:tcBorders>
            <w:vAlign w:val="center"/>
            <w:hideMark/>
          </w:tcPr>
          <w:p w14:paraId="4D61D57D" w14:textId="77777777" w:rsidR="006A4810" w:rsidRPr="00EE3706" w:rsidRDefault="006A4810" w:rsidP="008B31A5">
            <w:pPr>
              <w:spacing w:after="0" w:line="240" w:lineRule="auto"/>
              <w:jc w:val="both"/>
              <w:rPr>
                <w:rFonts w:ascii="Calibri" w:eastAsia="Times New Roman" w:hAnsi="Calibri" w:cs="Calibri"/>
                <w:color w:val="000000"/>
                <w:sz w:val="22"/>
              </w:rPr>
            </w:pPr>
          </w:p>
        </w:tc>
        <w:tc>
          <w:tcPr>
            <w:tcW w:w="3577" w:type="dxa"/>
            <w:tcBorders>
              <w:top w:val="nil"/>
              <w:left w:val="single" w:sz="8" w:space="0" w:color="auto"/>
              <w:bottom w:val="single" w:sz="8" w:space="0" w:color="000000"/>
              <w:right w:val="single" w:sz="8" w:space="0" w:color="auto"/>
            </w:tcBorders>
            <w:shd w:val="clear" w:color="000000" w:fill="F8CBAD"/>
            <w:vAlign w:val="center"/>
            <w:hideMark/>
          </w:tcPr>
          <w:p w14:paraId="3D480875" w14:textId="77777777" w:rsidR="006A4810" w:rsidRPr="00EE3706" w:rsidRDefault="006A4810" w:rsidP="008B31A5">
            <w:pPr>
              <w:spacing w:after="0" w:line="240" w:lineRule="auto"/>
              <w:jc w:val="both"/>
              <w:rPr>
                <w:rFonts w:ascii="Calibri" w:eastAsia="Times New Roman" w:hAnsi="Calibri" w:cs="Calibri"/>
                <w:b/>
                <w:bCs/>
                <w:color w:val="000000"/>
                <w:sz w:val="22"/>
              </w:rPr>
            </w:pPr>
            <w:r w:rsidRPr="00EE3706">
              <w:rPr>
                <w:rFonts w:ascii="Calibri" w:eastAsia="Times New Roman" w:hAnsi="Calibri" w:cs="Calibri"/>
                <w:b/>
                <w:bCs/>
                <w:color w:val="000000"/>
                <w:sz w:val="22"/>
              </w:rPr>
              <w:t xml:space="preserve">Spending - </w:t>
            </w:r>
            <w:r>
              <w:rPr>
                <w:rFonts w:ascii="Calibri" w:eastAsia="Times New Roman" w:hAnsi="Calibri" w:cs="Calibri"/>
                <w:b/>
                <w:bCs/>
                <w:color w:val="000000"/>
                <w:sz w:val="22"/>
              </w:rPr>
              <w:t>Other</w:t>
            </w:r>
          </w:p>
        </w:tc>
        <w:tc>
          <w:tcPr>
            <w:tcW w:w="3261" w:type="dxa"/>
            <w:tcBorders>
              <w:top w:val="single" w:sz="8" w:space="0" w:color="auto"/>
              <w:left w:val="nil"/>
              <w:bottom w:val="single" w:sz="4" w:space="0" w:color="auto"/>
              <w:right w:val="single" w:sz="8" w:space="0" w:color="auto"/>
            </w:tcBorders>
            <w:shd w:val="clear" w:color="000000" w:fill="F4B084"/>
            <w:vAlign w:val="center"/>
            <w:hideMark/>
          </w:tcPr>
          <w:p w14:paraId="0F794780" w14:textId="77777777" w:rsidR="006A4810" w:rsidRPr="00EE3706" w:rsidRDefault="006A4810" w:rsidP="008B31A5">
            <w:pPr>
              <w:spacing w:after="0" w:line="240" w:lineRule="auto"/>
              <w:jc w:val="both"/>
              <w:rPr>
                <w:rFonts w:ascii="Calibri" w:eastAsia="Times New Roman" w:hAnsi="Calibri" w:cs="Calibri"/>
                <w:color w:val="000000"/>
                <w:sz w:val="22"/>
              </w:rPr>
            </w:pPr>
            <w:r>
              <w:rPr>
                <w:rFonts w:ascii="Calibri" w:eastAsia="Times New Roman" w:hAnsi="Calibri" w:cs="Calibri"/>
                <w:color w:val="000000"/>
                <w:sz w:val="22"/>
              </w:rPr>
              <w:t>Other Spending</w:t>
            </w:r>
          </w:p>
        </w:tc>
      </w:tr>
    </w:tbl>
    <w:p w14:paraId="59272C1F" w14:textId="77777777" w:rsidR="00D80B8B" w:rsidRDefault="00D80B8B" w:rsidP="008B31A5">
      <w:pPr>
        <w:pStyle w:val="Paragrafoelenco"/>
        <w:contextualSpacing w:val="0"/>
        <w:jc w:val="both"/>
      </w:pPr>
    </w:p>
    <w:p w14:paraId="4ED4879D" w14:textId="6350FB61" w:rsidR="004D4B31" w:rsidRDefault="00F002B3" w:rsidP="008B31A5">
      <w:pPr>
        <w:pStyle w:val="Paragrafoelenco"/>
        <w:contextualSpacing w:val="0"/>
        <w:jc w:val="both"/>
      </w:pPr>
      <w:r>
        <w:lastRenderedPageBreak/>
        <w:t xml:space="preserve">Next, each new measure announcement from the </w:t>
      </w:r>
      <w:proofErr w:type="spellStart"/>
      <w:r w:rsidRPr="00AC39D0">
        <w:rPr>
          <w:b/>
        </w:rPr>
        <w:t>AppendixTables.xslx</w:t>
      </w:r>
      <w:proofErr w:type="spellEnd"/>
      <w:r>
        <w:t xml:space="preserve"> file</w:t>
      </w:r>
      <w:r w:rsidR="00E96F2A">
        <w:t xml:space="preserve"> (</w:t>
      </w:r>
      <w:r w:rsidR="00E96F2A">
        <w:rPr>
          <w:b/>
        </w:rPr>
        <w:t>Input</w:t>
      </w:r>
      <w:r w:rsidR="00E96F2A">
        <w:t xml:space="preserve"> sheet)</w:t>
      </w:r>
      <w:r>
        <w:t xml:space="preserve"> is divided by the GDP level of the year preceding the given announcement (as at the time of announcement</w:t>
      </w:r>
      <w:r w:rsidR="00AC39D0">
        <w:t>,</w:t>
      </w:r>
      <w:r>
        <w:t xml:space="preserve"> </w:t>
      </w:r>
      <w:r w:rsidR="0098701B">
        <w:t>it</w:t>
      </w:r>
      <w:r>
        <w:t xml:space="preserve"> is the latest datum available).</w:t>
      </w:r>
      <w:r w:rsidR="0098701B">
        <w:t xml:space="preserve"> Moreover, there is further classification between the </w:t>
      </w:r>
      <w:r w:rsidR="0098701B">
        <w:rPr>
          <w:b/>
        </w:rPr>
        <w:t>announced</w:t>
      </w:r>
      <w:r w:rsidR="0098701B">
        <w:t xml:space="preserve"> measures and </w:t>
      </w:r>
      <w:r w:rsidR="00AC39D0">
        <w:t xml:space="preserve">the </w:t>
      </w:r>
      <w:r w:rsidR="0098701B">
        <w:rPr>
          <w:b/>
        </w:rPr>
        <w:t xml:space="preserve">unexpected </w:t>
      </w:r>
      <w:r w:rsidR="0098701B">
        <w:t xml:space="preserve">ones. </w:t>
      </w:r>
      <w:r w:rsidR="0098701B" w:rsidRPr="0098701B">
        <w:rPr>
          <w:b/>
        </w:rPr>
        <w:t>Unexpected</w:t>
      </w:r>
      <w:r w:rsidR="00AC39D0">
        <w:rPr>
          <w:b/>
        </w:rPr>
        <w:t xml:space="preserve"> </w:t>
      </w:r>
      <w:r w:rsidR="00AC39D0" w:rsidRPr="00AC39D0">
        <w:t>measures</w:t>
      </w:r>
      <w:r w:rsidR="0098701B">
        <w:t xml:space="preserve"> are just the </w:t>
      </w:r>
      <w:r w:rsidR="00AC39D0">
        <w:t>those</w:t>
      </w:r>
      <w:r w:rsidR="0098701B">
        <w:t xml:space="preserve"> that regard the year o</w:t>
      </w:r>
      <w:r w:rsidR="00AC39D0">
        <w:t>f</w:t>
      </w:r>
      <w:r w:rsidR="0098701B">
        <w:t xml:space="preserve"> announcement itself, while are considered</w:t>
      </w:r>
      <w:r w:rsidR="00AC39D0">
        <w:t xml:space="preserve"> </w:t>
      </w:r>
      <w:r w:rsidR="00AC39D0">
        <w:rPr>
          <w:b/>
        </w:rPr>
        <w:t>announced</w:t>
      </w:r>
      <w:r w:rsidR="0098701B">
        <w:t xml:space="preserve"> those that were announced at least one year prior to </w:t>
      </w:r>
      <w:r w:rsidR="005E7B9F">
        <w:t xml:space="preserve">the </w:t>
      </w:r>
      <w:r w:rsidR="0098701B">
        <w:t xml:space="preserve">planned enactment. </w:t>
      </w:r>
      <w:r w:rsidR="00E96F2A">
        <w:t xml:space="preserve">Thus, the </w:t>
      </w:r>
      <w:proofErr w:type="spellStart"/>
      <w:r w:rsidR="00E96F2A" w:rsidRPr="00E96F2A">
        <w:rPr>
          <w:b/>
        </w:rPr>
        <w:t>u_t</w:t>
      </w:r>
      <w:proofErr w:type="spellEnd"/>
      <w:r w:rsidR="00E96F2A">
        <w:t xml:space="preserve"> column denote</w:t>
      </w:r>
      <w:r w:rsidR="005E7B9F">
        <w:t>s</w:t>
      </w:r>
      <w:r w:rsidR="00E96F2A">
        <w:t xml:space="preserve"> the unexpected fiscal measures for any given year while the column </w:t>
      </w:r>
      <w:proofErr w:type="spellStart"/>
      <w:r w:rsidR="00E96F2A">
        <w:rPr>
          <w:b/>
        </w:rPr>
        <w:t>a_t</w:t>
      </w:r>
      <w:proofErr w:type="spellEnd"/>
      <w:r w:rsidR="00E96F2A">
        <w:rPr>
          <w:b/>
        </w:rPr>
        <w:t xml:space="preserve"> </w:t>
      </w:r>
      <w:r w:rsidR="00E96F2A" w:rsidRPr="00E96F2A">
        <w:t>denotes</w:t>
      </w:r>
      <w:r w:rsidR="00E96F2A">
        <w:t xml:space="preserve"> the </w:t>
      </w:r>
      <w:r w:rsidR="00E96F2A" w:rsidRPr="00E96F2A">
        <w:rPr>
          <w:b/>
        </w:rPr>
        <w:t xml:space="preserve">cumulative </w:t>
      </w:r>
      <w:r w:rsidR="00E96F2A">
        <w:t xml:space="preserve">impact of the measures announced for the given year in the years before (in this case the summation is over the past five years). The same reasoning extends for the entries of columns </w:t>
      </w:r>
      <w:proofErr w:type="spellStart"/>
      <w:r w:rsidR="00E96F2A">
        <w:rPr>
          <w:b/>
        </w:rPr>
        <w:t>a_t+j</w:t>
      </w:r>
      <w:proofErr w:type="spellEnd"/>
      <w:r w:rsidR="00D9374F">
        <w:rPr>
          <w:b/>
        </w:rPr>
        <w:t xml:space="preserve"> </w:t>
      </w:r>
      <w:r w:rsidR="00D9374F" w:rsidRPr="00D9374F">
        <w:t>(with j from 1 to 5)</w:t>
      </w:r>
      <w:r w:rsidR="00D9374F">
        <w:t>,</w:t>
      </w:r>
      <w:r w:rsidR="00E96F2A">
        <w:t xml:space="preserve"> which contain the </w:t>
      </w:r>
      <w:r w:rsidR="00E96F2A" w:rsidRPr="00E96F2A">
        <w:rPr>
          <w:b/>
        </w:rPr>
        <w:t>cumulative</w:t>
      </w:r>
      <w:r w:rsidR="00E96F2A">
        <w:rPr>
          <w:b/>
        </w:rPr>
        <w:t xml:space="preserve"> impact </w:t>
      </w:r>
      <w:r w:rsidR="00E96F2A">
        <w:t xml:space="preserve">of the measures announced </w:t>
      </w:r>
      <w:r w:rsidR="00D9374F">
        <w:t>in year t or before</w:t>
      </w:r>
      <w:r w:rsidR="00E96F2A">
        <w:t xml:space="preserve"> for year </w:t>
      </w:r>
      <w:proofErr w:type="spellStart"/>
      <w:r w:rsidR="00E96F2A">
        <w:t>t+j</w:t>
      </w:r>
      <w:proofErr w:type="spellEnd"/>
      <w:r w:rsidR="00E96F2A">
        <w:t>.</w:t>
      </w:r>
      <w:r w:rsidR="00D9374F">
        <w:t xml:space="preserve"> The logic behind this classification is the fact that the fiscal announcements present the </w:t>
      </w:r>
      <w:r w:rsidR="00D9374F">
        <w:rPr>
          <w:b/>
        </w:rPr>
        <w:t>corrections</w:t>
      </w:r>
      <w:r w:rsidR="00D9374F">
        <w:t xml:space="preserve"> to the existing budget plans and, thus, only the effective total (expected/announced or effective) change in the budget should play a role.</w:t>
      </w:r>
    </w:p>
    <w:p w14:paraId="4A637085" w14:textId="77777777" w:rsidR="002072D9" w:rsidRDefault="002072D9" w:rsidP="008B31A5">
      <w:pPr>
        <w:pStyle w:val="Paragrafoelenco"/>
        <w:contextualSpacing w:val="0"/>
        <w:jc w:val="both"/>
      </w:pPr>
      <w:r>
        <w:t xml:space="preserve">The next entries summarize the total </w:t>
      </w:r>
      <w:r w:rsidR="004B0DA7" w:rsidRPr="00E119BD">
        <w:rPr>
          <w:i/>
        </w:rPr>
        <w:t>Tax</w:t>
      </w:r>
      <w:r w:rsidR="004B0DA7">
        <w:t xml:space="preserve"> and </w:t>
      </w:r>
      <w:r w:rsidR="00E119BD" w:rsidRPr="00E119BD">
        <w:rPr>
          <w:i/>
        </w:rPr>
        <w:t>Spending</w:t>
      </w:r>
      <w:r w:rsidR="00E119BD">
        <w:t xml:space="preserve"> measure amounts. Note that while the </w:t>
      </w:r>
      <w:r w:rsidR="00E119BD" w:rsidRPr="00E119BD">
        <w:rPr>
          <w:b/>
          <w:i/>
        </w:rPr>
        <w:t>Spending-Total</w:t>
      </w:r>
      <w:r w:rsidR="00E119BD">
        <w:t xml:space="preserve"> column is just the sum of all the entries of the related preceding columns, the </w:t>
      </w:r>
      <w:r w:rsidR="00E119BD" w:rsidRPr="00E119BD">
        <w:rPr>
          <w:b/>
          <w:i/>
        </w:rPr>
        <w:t>Tax-Total</w:t>
      </w:r>
      <w:r w:rsidR="00E119BD">
        <w:rPr>
          <w:i/>
        </w:rPr>
        <w:t xml:space="preserve"> </w:t>
      </w:r>
      <w:r w:rsidR="00E119BD">
        <w:t xml:space="preserve">is composed as </w:t>
      </w:r>
      <w:r w:rsidR="00E119BD" w:rsidRPr="00E119BD">
        <w:rPr>
          <w:i/>
        </w:rPr>
        <w:t>Tax</w:t>
      </w:r>
      <w:r w:rsidR="00E119BD">
        <w:rPr>
          <w:i/>
        </w:rPr>
        <w:t>es</w:t>
      </w:r>
      <w:r w:rsidR="00E119BD" w:rsidRPr="00E119BD">
        <w:rPr>
          <w:i/>
        </w:rPr>
        <w:t>-</w:t>
      </w:r>
      <w:r w:rsidR="00E119BD">
        <w:rPr>
          <w:i/>
        </w:rPr>
        <w:t>Income + Taxes-Properties + Taxes-Goods and Services + Taxes-Not yet classified + Taxes-Other</w:t>
      </w:r>
      <w:r w:rsidR="00E119BD">
        <w:t xml:space="preserve"> without taking the remaining three columns of the Tax related measures which merely represent the further decomposition of the measures.</w:t>
      </w:r>
    </w:p>
    <w:p w14:paraId="63E07A07" w14:textId="77777777" w:rsidR="00E119BD" w:rsidRDefault="00E119BD" w:rsidP="008B31A5">
      <w:pPr>
        <w:pStyle w:val="Paragrafoelenco"/>
        <w:contextualSpacing w:val="0"/>
        <w:jc w:val="both"/>
      </w:pPr>
      <w:r>
        <w:t xml:space="preserve">The </w:t>
      </w:r>
      <w:r>
        <w:rPr>
          <w:b/>
          <w:i/>
        </w:rPr>
        <w:t xml:space="preserve">Tax-Impact Tot </w:t>
      </w:r>
      <w:r>
        <w:t xml:space="preserve">and </w:t>
      </w:r>
      <w:r>
        <w:rPr>
          <w:b/>
          <w:i/>
        </w:rPr>
        <w:t xml:space="preserve">Spending-Impact Tot </w:t>
      </w:r>
      <w:r>
        <w:t xml:space="preserve">summarize the measures to be implemented in any given year, thus summing the unexpected component, </w:t>
      </w:r>
      <w:proofErr w:type="spellStart"/>
      <w:r>
        <w:rPr>
          <w:b/>
        </w:rPr>
        <w:t>u_t</w:t>
      </w:r>
      <w:proofErr w:type="spellEnd"/>
      <w:r>
        <w:t xml:space="preserve">, with the expected one, </w:t>
      </w:r>
      <w:proofErr w:type="spellStart"/>
      <w:r>
        <w:rPr>
          <w:b/>
        </w:rPr>
        <w:t>a_t</w:t>
      </w:r>
      <w:proofErr w:type="spellEnd"/>
      <w:r>
        <w:t>.</w:t>
      </w:r>
    </w:p>
    <w:p w14:paraId="35B644F9" w14:textId="1FA722A7" w:rsidR="00E119BD" w:rsidRDefault="00E119BD" w:rsidP="008B31A5">
      <w:pPr>
        <w:pStyle w:val="Paragrafoelenco"/>
        <w:contextualSpacing w:val="0"/>
        <w:jc w:val="both"/>
      </w:pPr>
      <w:r>
        <w:t xml:space="preserve">The next entries </w:t>
      </w:r>
      <w:r w:rsidR="00EE1BDA">
        <w:t>contain</w:t>
      </w:r>
      <w:r w:rsidR="00300618">
        <w:t xml:space="preserve"> the summation of all the measures, unexpected and announced, at any given year. </w:t>
      </w:r>
      <w:r w:rsidR="00EE1BDA">
        <w:t>Further</w:t>
      </w:r>
      <w:r w:rsidR="002D6FB9">
        <w:t>,</w:t>
      </w:r>
      <w:r w:rsidR="00EE1BDA">
        <w:t xml:space="preserve"> the aggregate amounts are calculated. The classification</w:t>
      </w:r>
      <w:r w:rsidR="00300618">
        <w:t xml:space="preserve"> </w:t>
      </w:r>
      <w:r w:rsidR="00AC39D0">
        <w:t>is provided</w:t>
      </w:r>
      <w:r w:rsidR="00300618">
        <w:t xml:space="preserve"> in the following table</w:t>
      </w:r>
      <w:r>
        <w:t>:</w:t>
      </w:r>
    </w:p>
    <w:tbl>
      <w:tblPr>
        <w:tblW w:w="7083" w:type="dxa"/>
        <w:jc w:val="center"/>
        <w:tblLook w:val="04A0" w:firstRow="1" w:lastRow="0" w:firstColumn="1" w:lastColumn="0" w:noHBand="0" w:noVBand="1"/>
      </w:tblPr>
      <w:tblGrid>
        <w:gridCol w:w="2973"/>
        <w:gridCol w:w="2693"/>
        <w:gridCol w:w="1417"/>
      </w:tblGrid>
      <w:tr w:rsidR="00EE1BDA" w:rsidRPr="00EE1BDA" w14:paraId="11951AB3" w14:textId="77777777" w:rsidTr="00EE1BDA">
        <w:trPr>
          <w:trHeight w:val="525"/>
          <w:jc w:val="center"/>
        </w:trPr>
        <w:tc>
          <w:tcPr>
            <w:tcW w:w="2973"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C80C38C" w14:textId="77777777" w:rsidR="00EE1BDA" w:rsidRPr="00EE1BDA" w:rsidRDefault="00EE1BDA" w:rsidP="008B31A5">
            <w:pPr>
              <w:spacing w:after="0" w:line="240" w:lineRule="auto"/>
              <w:jc w:val="both"/>
              <w:rPr>
                <w:rFonts w:ascii="Calibri" w:eastAsia="Times New Roman" w:hAnsi="Calibri" w:cs="Times New Roman"/>
                <w:b/>
                <w:bCs/>
                <w:color w:val="000000"/>
                <w:sz w:val="22"/>
              </w:rPr>
            </w:pPr>
            <w:r w:rsidRPr="00F84CA5">
              <w:rPr>
                <w:rFonts w:ascii="Calibri" w:eastAsia="Times New Roman" w:hAnsi="Calibri" w:cs="Times New Roman"/>
                <w:b/>
                <w:bCs/>
                <w:color w:val="000000"/>
                <w:sz w:val="22"/>
                <w:lang w:val="fr-FR"/>
              </w:rPr>
              <w:t xml:space="preserve">Taxes - </w:t>
            </w:r>
            <w:proofErr w:type="spellStart"/>
            <w:proofErr w:type="gramStart"/>
            <w:r w:rsidRPr="00F84CA5">
              <w:rPr>
                <w:rFonts w:ascii="Calibri" w:eastAsia="Times New Roman" w:hAnsi="Calibri" w:cs="Times New Roman"/>
                <w:b/>
                <w:bCs/>
                <w:color w:val="000000"/>
                <w:sz w:val="22"/>
                <w:lang w:val="fr-FR"/>
              </w:rPr>
              <w:t>Income</w:t>
            </w:r>
            <w:proofErr w:type="spellEnd"/>
            <w:r w:rsidRPr="00F84CA5">
              <w:rPr>
                <w:rFonts w:ascii="Calibri" w:eastAsia="Times New Roman" w:hAnsi="Calibri" w:cs="Times New Roman"/>
                <w:b/>
                <w:bCs/>
                <w:color w:val="000000"/>
                <w:sz w:val="22"/>
                <w:lang w:val="fr-FR"/>
              </w:rPr>
              <w:t>:</w:t>
            </w:r>
            <w:proofErr w:type="gramEnd"/>
            <w:r w:rsidRPr="00F84CA5">
              <w:rPr>
                <w:rFonts w:ascii="Calibri" w:eastAsia="Times New Roman" w:hAnsi="Calibri" w:cs="Times New Roman"/>
                <w:b/>
                <w:bCs/>
                <w:color w:val="000000"/>
                <w:sz w:val="22"/>
                <w:lang w:val="fr-FR"/>
              </w:rPr>
              <w:br/>
              <w:t xml:space="preserve"> </w:t>
            </w:r>
            <w:proofErr w:type="spellStart"/>
            <w:r w:rsidRPr="00F84CA5">
              <w:rPr>
                <w:rFonts w:ascii="Calibri" w:eastAsia="Times New Roman" w:hAnsi="Calibri" w:cs="Times New Roman"/>
                <w:b/>
                <w:bCs/>
                <w:color w:val="000000"/>
                <w:sz w:val="22"/>
                <w:lang w:val="fr-FR"/>
              </w:rPr>
              <w:t>u_t</w:t>
            </w:r>
            <w:proofErr w:type="spellEnd"/>
            <w:r w:rsidRPr="00F84CA5">
              <w:rPr>
                <w:rFonts w:ascii="Calibri" w:eastAsia="Times New Roman" w:hAnsi="Calibri" w:cs="Times New Roman"/>
                <w:b/>
                <w:bCs/>
                <w:color w:val="000000"/>
                <w:sz w:val="22"/>
                <w:lang w:val="fr-FR"/>
              </w:rPr>
              <w:t xml:space="preserve"> + </w:t>
            </w:r>
            <w:proofErr w:type="spellStart"/>
            <w:r w:rsidRPr="00F84CA5">
              <w:rPr>
                <w:rFonts w:ascii="Calibri" w:eastAsia="Times New Roman" w:hAnsi="Calibri" w:cs="Times New Roman"/>
                <w:b/>
                <w:bCs/>
                <w:color w:val="000000"/>
                <w:sz w:val="22"/>
                <w:lang w:val="fr-FR"/>
              </w:rPr>
              <w:t>a_t</w:t>
            </w:r>
            <w:proofErr w:type="spellEnd"/>
            <w:r w:rsidRPr="00F84CA5">
              <w:rPr>
                <w:rFonts w:ascii="Calibri" w:eastAsia="Times New Roman" w:hAnsi="Calibri" w:cs="Times New Roman"/>
                <w:b/>
                <w:bCs/>
                <w:color w:val="000000"/>
                <w:sz w:val="22"/>
                <w:lang w:val="fr-FR"/>
              </w:rPr>
              <w:t xml:space="preserve"> + … </w:t>
            </w:r>
            <w:r w:rsidRPr="00EE1BDA">
              <w:rPr>
                <w:rFonts w:ascii="Calibri" w:eastAsia="Times New Roman" w:hAnsi="Calibri" w:cs="Times New Roman"/>
                <w:b/>
                <w:bCs/>
                <w:color w:val="000000"/>
                <w:sz w:val="22"/>
              </w:rPr>
              <w:t>+ a_t+5</w:t>
            </w:r>
          </w:p>
        </w:tc>
        <w:tc>
          <w:tcPr>
            <w:tcW w:w="2693"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2DAA973" w14:textId="77777777" w:rsidR="00EE1BDA" w:rsidRPr="00EE1BDA" w:rsidRDefault="00EE1BDA" w:rsidP="008B31A5">
            <w:pPr>
              <w:spacing w:after="0" w:line="240" w:lineRule="auto"/>
              <w:jc w:val="both"/>
              <w:rPr>
                <w:rFonts w:ascii="Calibri" w:eastAsia="Times New Roman" w:hAnsi="Calibri" w:cs="Times New Roman"/>
                <w:b/>
                <w:bCs/>
                <w:color w:val="000000"/>
                <w:sz w:val="22"/>
              </w:rPr>
            </w:pPr>
            <w:r w:rsidRPr="00EE1BDA">
              <w:rPr>
                <w:rFonts w:ascii="Calibri" w:eastAsia="Times New Roman" w:hAnsi="Calibri" w:cs="Times New Roman"/>
                <w:b/>
                <w:bCs/>
                <w:color w:val="000000"/>
                <w:sz w:val="22"/>
              </w:rPr>
              <w:t>Direct Tax Tot</w:t>
            </w:r>
          </w:p>
        </w:tc>
        <w:tc>
          <w:tcPr>
            <w:tcW w:w="1417" w:type="dxa"/>
            <w:vMerge w:val="restart"/>
            <w:tcBorders>
              <w:top w:val="single" w:sz="4" w:space="0" w:color="auto"/>
              <w:left w:val="single" w:sz="4" w:space="0" w:color="auto"/>
              <w:right w:val="single" w:sz="4" w:space="0" w:color="auto"/>
            </w:tcBorders>
            <w:shd w:val="clear" w:color="auto" w:fill="F5A687"/>
            <w:vAlign w:val="center"/>
          </w:tcPr>
          <w:p w14:paraId="79A38793" w14:textId="77777777" w:rsidR="00EE1BDA" w:rsidRPr="00EE1BDA" w:rsidRDefault="00EE1BDA" w:rsidP="008B31A5">
            <w:pPr>
              <w:spacing w:after="0" w:line="240" w:lineRule="auto"/>
              <w:jc w:val="both"/>
              <w:rPr>
                <w:rFonts w:ascii="Calibri" w:eastAsia="Times New Roman" w:hAnsi="Calibri" w:cs="Times New Roman"/>
                <w:b/>
                <w:bCs/>
                <w:color w:val="000000"/>
                <w:sz w:val="22"/>
              </w:rPr>
            </w:pPr>
            <w:r>
              <w:rPr>
                <w:rFonts w:ascii="Calibri" w:eastAsia="Times New Roman" w:hAnsi="Calibri" w:cs="Times New Roman"/>
                <w:b/>
                <w:bCs/>
                <w:color w:val="000000"/>
                <w:sz w:val="22"/>
              </w:rPr>
              <w:t>Tax Tot</w:t>
            </w:r>
          </w:p>
        </w:tc>
      </w:tr>
      <w:tr w:rsidR="00EE1BDA" w:rsidRPr="00EE1BDA" w14:paraId="6D8C084B" w14:textId="77777777" w:rsidTr="00EE1BDA">
        <w:trPr>
          <w:trHeight w:val="525"/>
          <w:jc w:val="center"/>
        </w:trPr>
        <w:tc>
          <w:tcPr>
            <w:tcW w:w="2973" w:type="dxa"/>
            <w:tcBorders>
              <w:top w:val="nil"/>
              <w:left w:val="single" w:sz="4" w:space="0" w:color="auto"/>
              <w:bottom w:val="single" w:sz="4" w:space="0" w:color="auto"/>
              <w:right w:val="single" w:sz="4" w:space="0" w:color="auto"/>
            </w:tcBorders>
            <w:shd w:val="clear" w:color="000000" w:fill="F8CBAD"/>
            <w:noWrap/>
            <w:vAlign w:val="bottom"/>
            <w:hideMark/>
          </w:tcPr>
          <w:p w14:paraId="202E0817" w14:textId="77777777" w:rsidR="00EE1BDA" w:rsidRPr="00EE1BDA" w:rsidRDefault="00EE1BDA" w:rsidP="008B31A5">
            <w:pPr>
              <w:spacing w:after="0" w:line="240" w:lineRule="auto"/>
              <w:jc w:val="both"/>
              <w:rPr>
                <w:rFonts w:ascii="Calibri" w:eastAsia="Times New Roman" w:hAnsi="Calibri" w:cs="Times New Roman"/>
                <w:b/>
                <w:bCs/>
                <w:color w:val="000000"/>
                <w:sz w:val="22"/>
              </w:rPr>
            </w:pPr>
            <w:r w:rsidRPr="00F84CA5">
              <w:rPr>
                <w:rFonts w:ascii="Calibri" w:eastAsia="Times New Roman" w:hAnsi="Calibri" w:cs="Times New Roman"/>
                <w:b/>
                <w:bCs/>
                <w:color w:val="000000"/>
                <w:sz w:val="22"/>
                <w:lang w:val="fr-FR"/>
              </w:rPr>
              <w:t xml:space="preserve">Taxes - </w:t>
            </w:r>
            <w:proofErr w:type="spellStart"/>
            <w:proofErr w:type="gramStart"/>
            <w:r w:rsidRPr="00F84CA5">
              <w:rPr>
                <w:rFonts w:ascii="Calibri" w:eastAsia="Times New Roman" w:hAnsi="Calibri" w:cs="Times New Roman"/>
                <w:b/>
                <w:bCs/>
                <w:color w:val="000000"/>
                <w:sz w:val="22"/>
                <w:lang w:val="fr-FR"/>
              </w:rPr>
              <w:t>Propetries</w:t>
            </w:r>
            <w:proofErr w:type="spellEnd"/>
            <w:r w:rsidRPr="00F84CA5">
              <w:rPr>
                <w:rFonts w:ascii="Calibri" w:eastAsia="Times New Roman" w:hAnsi="Calibri" w:cs="Times New Roman"/>
                <w:b/>
                <w:bCs/>
                <w:color w:val="000000"/>
                <w:sz w:val="22"/>
                <w:lang w:val="fr-FR"/>
              </w:rPr>
              <w:t>:</w:t>
            </w:r>
            <w:proofErr w:type="gramEnd"/>
            <w:r w:rsidRPr="00F84CA5">
              <w:rPr>
                <w:rFonts w:ascii="Calibri" w:eastAsia="Times New Roman" w:hAnsi="Calibri" w:cs="Times New Roman"/>
                <w:b/>
                <w:bCs/>
                <w:color w:val="000000"/>
                <w:sz w:val="22"/>
                <w:lang w:val="fr-FR"/>
              </w:rPr>
              <w:br/>
              <w:t xml:space="preserve"> </w:t>
            </w:r>
            <w:proofErr w:type="spellStart"/>
            <w:r w:rsidRPr="00F84CA5">
              <w:rPr>
                <w:rFonts w:ascii="Calibri" w:eastAsia="Times New Roman" w:hAnsi="Calibri" w:cs="Times New Roman"/>
                <w:b/>
                <w:bCs/>
                <w:color w:val="000000"/>
                <w:sz w:val="22"/>
                <w:lang w:val="fr-FR"/>
              </w:rPr>
              <w:t>u_t</w:t>
            </w:r>
            <w:proofErr w:type="spellEnd"/>
            <w:r w:rsidRPr="00F84CA5">
              <w:rPr>
                <w:rFonts w:ascii="Calibri" w:eastAsia="Times New Roman" w:hAnsi="Calibri" w:cs="Times New Roman"/>
                <w:b/>
                <w:bCs/>
                <w:color w:val="000000"/>
                <w:sz w:val="22"/>
                <w:lang w:val="fr-FR"/>
              </w:rPr>
              <w:t xml:space="preserve"> + </w:t>
            </w:r>
            <w:proofErr w:type="spellStart"/>
            <w:r w:rsidRPr="00F84CA5">
              <w:rPr>
                <w:rFonts w:ascii="Calibri" w:eastAsia="Times New Roman" w:hAnsi="Calibri" w:cs="Times New Roman"/>
                <w:b/>
                <w:bCs/>
                <w:color w:val="000000"/>
                <w:sz w:val="22"/>
                <w:lang w:val="fr-FR"/>
              </w:rPr>
              <w:t>a_t</w:t>
            </w:r>
            <w:proofErr w:type="spellEnd"/>
            <w:r w:rsidRPr="00F84CA5">
              <w:rPr>
                <w:rFonts w:ascii="Calibri" w:eastAsia="Times New Roman" w:hAnsi="Calibri" w:cs="Times New Roman"/>
                <w:b/>
                <w:bCs/>
                <w:color w:val="000000"/>
                <w:sz w:val="22"/>
                <w:lang w:val="fr-FR"/>
              </w:rPr>
              <w:t xml:space="preserve"> + … </w:t>
            </w:r>
            <w:r w:rsidRPr="00EE1BDA">
              <w:rPr>
                <w:rFonts w:ascii="Calibri" w:eastAsia="Times New Roman" w:hAnsi="Calibri" w:cs="Times New Roman"/>
                <w:b/>
                <w:bCs/>
                <w:color w:val="000000"/>
                <w:sz w:val="22"/>
              </w:rPr>
              <w:t>+ a_t+5</w:t>
            </w:r>
          </w:p>
        </w:tc>
        <w:tc>
          <w:tcPr>
            <w:tcW w:w="2693" w:type="dxa"/>
            <w:vMerge/>
            <w:tcBorders>
              <w:top w:val="single" w:sz="4" w:space="0" w:color="auto"/>
              <w:left w:val="single" w:sz="4" w:space="0" w:color="auto"/>
              <w:bottom w:val="single" w:sz="4" w:space="0" w:color="auto"/>
              <w:right w:val="single" w:sz="4" w:space="0" w:color="auto"/>
            </w:tcBorders>
            <w:vAlign w:val="center"/>
            <w:hideMark/>
          </w:tcPr>
          <w:p w14:paraId="20F923A3" w14:textId="77777777" w:rsidR="00EE1BDA" w:rsidRPr="00EE1BDA" w:rsidRDefault="00EE1BDA" w:rsidP="008B31A5">
            <w:pPr>
              <w:spacing w:after="0" w:line="240" w:lineRule="auto"/>
              <w:jc w:val="both"/>
              <w:rPr>
                <w:rFonts w:ascii="Calibri" w:eastAsia="Times New Roman" w:hAnsi="Calibri" w:cs="Times New Roman"/>
                <w:b/>
                <w:bCs/>
                <w:color w:val="000000"/>
                <w:sz w:val="22"/>
              </w:rPr>
            </w:pPr>
          </w:p>
        </w:tc>
        <w:tc>
          <w:tcPr>
            <w:tcW w:w="1417" w:type="dxa"/>
            <w:vMerge/>
            <w:tcBorders>
              <w:left w:val="single" w:sz="4" w:space="0" w:color="auto"/>
              <w:right w:val="single" w:sz="4" w:space="0" w:color="auto"/>
            </w:tcBorders>
            <w:shd w:val="clear" w:color="auto" w:fill="F5A687"/>
            <w:vAlign w:val="center"/>
          </w:tcPr>
          <w:p w14:paraId="10D8F06C" w14:textId="77777777" w:rsidR="00EE1BDA" w:rsidRPr="00EE1BDA" w:rsidRDefault="00EE1BDA" w:rsidP="008B31A5">
            <w:pPr>
              <w:spacing w:after="0" w:line="240" w:lineRule="auto"/>
              <w:jc w:val="both"/>
              <w:rPr>
                <w:rFonts w:ascii="Calibri" w:eastAsia="Times New Roman" w:hAnsi="Calibri" w:cs="Times New Roman"/>
                <w:b/>
                <w:bCs/>
                <w:color w:val="000000"/>
                <w:sz w:val="22"/>
              </w:rPr>
            </w:pPr>
          </w:p>
        </w:tc>
      </w:tr>
      <w:tr w:rsidR="00EE1BDA" w:rsidRPr="00EE1BDA" w14:paraId="01E848E3" w14:textId="77777777" w:rsidTr="00EE1BDA">
        <w:trPr>
          <w:trHeight w:val="600"/>
          <w:jc w:val="center"/>
        </w:trPr>
        <w:tc>
          <w:tcPr>
            <w:tcW w:w="2973" w:type="dxa"/>
            <w:tcBorders>
              <w:top w:val="nil"/>
              <w:left w:val="single" w:sz="4" w:space="0" w:color="auto"/>
              <w:bottom w:val="single" w:sz="4" w:space="0" w:color="auto"/>
              <w:right w:val="single" w:sz="4" w:space="0" w:color="auto"/>
            </w:tcBorders>
            <w:shd w:val="clear" w:color="000000" w:fill="F8CBAD"/>
            <w:noWrap/>
            <w:vAlign w:val="bottom"/>
            <w:hideMark/>
          </w:tcPr>
          <w:p w14:paraId="302713C4" w14:textId="77777777" w:rsidR="00EE1BDA" w:rsidRPr="00EE1BDA" w:rsidRDefault="00EE1BDA" w:rsidP="008B31A5">
            <w:pPr>
              <w:spacing w:after="0" w:line="240" w:lineRule="auto"/>
              <w:jc w:val="both"/>
              <w:rPr>
                <w:rFonts w:ascii="Calibri" w:eastAsia="Times New Roman" w:hAnsi="Calibri" w:cs="Times New Roman"/>
                <w:b/>
                <w:bCs/>
                <w:color w:val="000000"/>
                <w:sz w:val="22"/>
              </w:rPr>
            </w:pPr>
            <w:r w:rsidRPr="00EE1BDA">
              <w:rPr>
                <w:rFonts w:ascii="Calibri" w:eastAsia="Times New Roman" w:hAnsi="Calibri" w:cs="Times New Roman"/>
                <w:b/>
                <w:bCs/>
                <w:color w:val="000000"/>
                <w:sz w:val="22"/>
              </w:rPr>
              <w:t>Taxes - Goods and Services:</w:t>
            </w:r>
            <w:r w:rsidRPr="00EE1BDA">
              <w:rPr>
                <w:rFonts w:ascii="Calibri" w:eastAsia="Times New Roman" w:hAnsi="Calibri" w:cs="Times New Roman"/>
                <w:b/>
                <w:bCs/>
                <w:color w:val="000000"/>
                <w:sz w:val="22"/>
              </w:rPr>
              <w:br/>
              <w:t xml:space="preserve"> </w:t>
            </w:r>
            <w:proofErr w:type="spellStart"/>
            <w:r w:rsidRPr="00EE1BDA">
              <w:rPr>
                <w:rFonts w:ascii="Calibri" w:eastAsia="Times New Roman" w:hAnsi="Calibri" w:cs="Times New Roman"/>
                <w:b/>
                <w:bCs/>
                <w:color w:val="000000"/>
                <w:sz w:val="22"/>
              </w:rPr>
              <w:t>u_t</w:t>
            </w:r>
            <w:proofErr w:type="spellEnd"/>
            <w:r w:rsidRPr="00EE1BDA">
              <w:rPr>
                <w:rFonts w:ascii="Calibri" w:eastAsia="Times New Roman" w:hAnsi="Calibri" w:cs="Times New Roman"/>
                <w:b/>
                <w:bCs/>
                <w:color w:val="000000"/>
                <w:sz w:val="22"/>
              </w:rPr>
              <w:t xml:space="preserve"> + </w:t>
            </w:r>
            <w:proofErr w:type="spellStart"/>
            <w:r w:rsidRPr="00EE1BDA">
              <w:rPr>
                <w:rFonts w:ascii="Calibri" w:eastAsia="Times New Roman" w:hAnsi="Calibri" w:cs="Times New Roman"/>
                <w:b/>
                <w:bCs/>
                <w:color w:val="000000"/>
                <w:sz w:val="22"/>
              </w:rPr>
              <w:t>a_t</w:t>
            </w:r>
            <w:proofErr w:type="spellEnd"/>
            <w:r w:rsidRPr="00EE1BDA">
              <w:rPr>
                <w:rFonts w:ascii="Calibri" w:eastAsia="Times New Roman" w:hAnsi="Calibri" w:cs="Times New Roman"/>
                <w:b/>
                <w:bCs/>
                <w:color w:val="000000"/>
                <w:sz w:val="22"/>
              </w:rPr>
              <w:t xml:space="preserve"> + … + a_t+5</w:t>
            </w:r>
          </w:p>
        </w:tc>
        <w:tc>
          <w:tcPr>
            <w:tcW w:w="2693" w:type="dxa"/>
            <w:tcBorders>
              <w:top w:val="nil"/>
              <w:left w:val="single" w:sz="4" w:space="0" w:color="auto"/>
              <w:bottom w:val="single" w:sz="4" w:space="0" w:color="auto"/>
              <w:right w:val="single" w:sz="4" w:space="0" w:color="auto"/>
            </w:tcBorders>
            <w:shd w:val="clear" w:color="000000" w:fill="DDEBF7"/>
            <w:noWrap/>
            <w:vAlign w:val="center"/>
            <w:hideMark/>
          </w:tcPr>
          <w:p w14:paraId="662E1D0B" w14:textId="77777777" w:rsidR="00EE1BDA" w:rsidRPr="00EE1BDA" w:rsidRDefault="00EE1BDA" w:rsidP="008B31A5">
            <w:pPr>
              <w:spacing w:after="0" w:line="240" w:lineRule="auto"/>
              <w:jc w:val="both"/>
              <w:rPr>
                <w:rFonts w:ascii="Calibri" w:eastAsia="Times New Roman" w:hAnsi="Calibri" w:cs="Times New Roman"/>
                <w:b/>
                <w:bCs/>
                <w:sz w:val="22"/>
              </w:rPr>
            </w:pPr>
            <w:r w:rsidRPr="00EE1BDA">
              <w:rPr>
                <w:rFonts w:ascii="Calibri" w:eastAsia="Times New Roman" w:hAnsi="Calibri" w:cs="Times New Roman"/>
                <w:b/>
                <w:bCs/>
                <w:sz w:val="22"/>
              </w:rPr>
              <w:t>Indirect Tax Tot</w:t>
            </w:r>
          </w:p>
        </w:tc>
        <w:tc>
          <w:tcPr>
            <w:tcW w:w="1417" w:type="dxa"/>
            <w:vMerge/>
            <w:tcBorders>
              <w:left w:val="single" w:sz="4" w:space="0" w:color="auto"/>
              <w:right w:val="single" w:sz="4" w:space="0" w:color="auto"/>
            </w:tcBorders>
            <w:shd w:val="clear" w:color="auto" w:fill="F5A687"/>
            <w:vAlign w:val="center"/>
          </w:tcPr>
          <w:p w14:paraId="121D1CD8" w14:textId="77777777" w:rsidR="00EE1BDA" w:rsidRPr="00EE1BDA" w:rsidRDefault="00EE1BDA" w:rsidP="008B31A5">
            <w:pPr>
              <w:spacing w:after="0" w:line="240" w:lineRule="auto"/>
              <w:jc w:val="both"/>
              <w:rPr>
                <w:rFonts w:ascii="Calibri" w:eastAsia="Times New Roman" w:hAnsi="Calibri" w:cs="Times New Roman"/>
                <w:b/>
                <w:bCs/>
                <w:sz w:val="22"/>
              </w:rPr>
            </w:pPr>
          </w:p>
        </w:tc>
      </w:tr>
      <w:tr w:rsidR="00EE1BDA" w:rsidRPr="00EE1BDA" w14:paraId="52488B70" w14:textId="77777777" w:rsidTr="00EE1BDA">
        <w:trPr>
          <w:trHeight w:val="600"/>
          <w:jc w:val="center"/>
        </w:trPr>
        <w:tc>
          <w:tcPr>
            <w:tcW w:w="2973" w:type="dxa"/>
            <w:tcBorders>
              <w:top w:val="nil"/>
              <w:left w:val="single" w:sz="4" w:space="0" w:color="auto"/>
              <w:bottom w:val="single" w:sz="4" w:space="0" w:color="auto"/>
              <w:right w:val="single" w:sz="4" w:space="0" w:color="auto"/>
            </w:tcBorders>
            <w:shd w:val="clear" w:color="000000" w:fill="F8CBAD"/>
            <w:noWrap/>
            <w:vAlign w:val="bottom"/>
            <w:hideMark/>
          </w:tcPr>
          <w:p w14:paraId="4740EBB4" w14:textId="77777777" w:rsidR="00EE1BDA" w:rsidRPr="00EE1BDA" w:rsidRDefault="00EE1BDA" w:rsidP="008B31A5">
            <w:pPr>
              <w:spacing w:after="0" w:line="240" w:lineRule="auto"/>
              <w:jc w:val="both"/>
              <w:rPr>
                <w:rFonts w:ascii="Calibri" w:eastAsia="Times New Roman" w:hAnsi="Calibri" w:cs="Times New Roman"/>
                <w:b/>
                <w:bCs/>
                <w:color w:val="000000"/>
                <w:sz w:val="22"/>
              </w:rPr>
            </w:pPr>
            <w:r w:rsidRPr="00EE1BDA">
              <w:rPr>
                <w:rFonts w:ascii="Calibri" w:eastAsia="Times New Roman" w:hAnsi="Calibri" w:cs="Times New Roman"/>
                <w:b/>
                <w:bCs/>
                <w:color w:val="000000"/>
                <w:sz w:val="22"/>
              </w:rPr>
              <w:t>Taxes - Not yet classified:</w:t>
            </w:r>
            <w:r w:rsidRPr="00EE1BDA">
              <w:rPr>
                <w:rFonts w:ascii="Calibri" w:eastAsia="Times New Roman" w:hAnsi="Calibri" w:cs="Times New Roman"/>
                <w:b/>
                <w:bCs/>
                <w:color w:val="000000"/>
                <w:sz w:val="22"/>
              </w:rPr>
              <w:br/>
              <w:t xml:space="preserve"> </w:t>
            </w:r>
            <w:proofErr w:type="spellStart"/>
            <w:r w:rsidRPr="00EE1BDA">
              <w:rPr>
                <w:rFonts w:ascii="Calibri" w:eastAsia="Times New Roman" w:hAnsi="Calibri" w:cs="Times New Roman"/>
                <w:b/>
                <w:bCs/>
                <w:color w:val="000000"/>
                <w:sz w:val="22"/>
              </w:rPr>
              <w:t>u_t</w:t>
            </w:r>
            <w:proofErr w:type="spellEnd"/>
            <w:r w:rsidRPr="00EE1BDA">
              <w:rPr>
                <w:rFonts w:ascii="Calibri" w:eastAsia="Times New Roman" w:hAnsi="Calibri" w:cs="Times New Roman"/>
                <w:b/>
                <w:bCs/>
                <w:color w:val="000000"/>
                <w:sz w:val="22"/>
              </w:rPr>
              <w:t xml:space="preserve"> + </w:t>
            </w:r>
            <w:proofErr w:type="spellStart"/>
            <w:r w:rsidRPr="00EE1BDA">
              <w:rPr>
                <w:rFonts w:ascii="Calibri" w:eastAsia="Times New Roman" w:hAnsi="Calibri" w:cs="Times New Roman"/>
                <w:b/>
                <w:bCs/>
                <w:color w:val="000000"/>
                <w:sz w:val="22"/>
              </w:rPr>
              <w:t>a_t</w:t>
            </w:r>
            <w:proofErr w:type="spellEnd"/>
            <w:r w:rsidRPr="00EE1BDA">
              <w:rPr>
                <w:rFonts w:ascii="Calibri" w:eastAsia="Times New Roman" w:hAnsi="Calibri" w:cs="Times New Roman"/>
                <w:b/>
                <w:bCs/>
                <w:color w:val="000000"/>
                <w:sz w:val="22"/>
              </w:rPr>
              <w:t xml:space="preserve"> + … + a_t+5</w:t>
            </w:r>
          </w:p>
        </w:tc>
        <w:tc>
          <w:tcPr>
            <w:tcW w:w="2693" w:type="dxa"/>
            <w:tcBorders>
              <w:top w:val="nil"/>
              <w:left w:val="single" w:sz="4" w:space="0" w:color="auto"/>
              <w:bottom w:val="single" w:sz="4" w:space="0" w:color="auto"/>
              <w:right w:val="single" w:sz="4" w:space="0" w:color="auto"/>
            </w:tcBorders>
            <w:shd w:val="clear" w:color="000000" w:fill="DDEBF7"/>
            <w:noWrap/>
            <w:vAlign w:val="center"/>
            <w:hideMark/>
          </w:tcPr>
          <w:p w14:paraId="209F3DEC" w14:textId="77777777" w:rsidR="00EE1BDA" w:rsidRPr="00EE1BDA" w:rsidRDefault="00EE1BDA" w:rsidP="008B31A5">
            <w:pPr>
              <w:spacing w:after="0" w:line="240" w:lineRule="auto"/>
              <w:jc w:val="both"/>
              <w:rPr>
                <w:rFonts w:ascii="Calibri" w:eastAsia="Times New Roman" w:hAnsi="Calibri" w:cs="Times New Roman"/>
                <w:b/>
                <w:bCs/>
                <w:sz w:val="22"/>
              </w:rPr>
            </w:pPr>
            <w:r w:rsidRPr="00EE1BDA">
              <w:rPr>
                <w:rFonts w:ascii="Calibri" w:eastAsia="Times New Roman" w:hAnsi="Calibri" w:cs="Times New Roman"/>
                <w:b/>
                <w:bCs/>
                <w:sz w:val="22"/>
              </w:rPr>
              <w:t>NYC Tax Tot</w:t>
            </w:r>
          </w:p>
        </w:tc>
        <w:tc>
          <w:tcPr>
            <w:tcW w:w="1417" w:type="dxa"/>
            <w:vMerge/>
            <w:tcBorders>
              <w:left w:val="single" w:sz="4" w:space="0" w:color="auto"/>
              <w:right w:val="single" w:sz="4" w:space="0" w:color="auto"/>
            </w:tcBorders>
            <w:shd w:val="clear" w:color="auto" w:fill="F5A687"/>
            <w:vAlign w:val="center"/>
          </w:tcPr>
          <w:p w14:paraId="181755F0" w14:textId="77777777" w:rsidR="00EE1BDA" w:rsidRPr="00EE1BDA" w:rsidRDefault="00EE1BDA" w:rsidP="008B31A5">
            <w:pPr>
              <w:spacing w:after="0" w:line="240" w:lineRule="auto"/>
              <w:jc w:val="both"/>
              <w:rPr>
                <w:rFonts w:ascii="Calibri" w:eastAsia="Times New Roman" w:hAnsi="Calibri" w:cs="Times New Roman"/>
                <w:b/>
                <w:bCs/>
                <w:sz w:val="22"/>
              </w:rPr>
            </w:pPr>
          </w:p>
        </w:tc>
      </w:tr>
      <w:tr w:rsidR="00EE1BDA" w:rsidRPr="00EE1BDA" w14:paraId="241D3462" w14:textId="77777777" w:rsidTr="00EE1BDA">
        <w:trPr>
          <w:trHeight w:val="510"/>
          <w:jc w:val="center"/>
        </w:trPr>
        <w:tc>
          <w:tcPr>
            <w:tcW w:w="2973" w:type="dxa"/>
            <w:tcBorders>
              <w:top w:val="nil"/>
              <w:left w:val="single" w:sz="4" w:space="0" w:color="auto"/>
              <w:bottom w:val="single" w:sz="8" w:space="0" w:color="auto"/>
              <w:right w:val="single" w:sz="4" w:space="0" w:color="auto"/>
            </w:tcBorders>
            <w:shd w:val="clear" w:color="000000" w:fill="F8CBAD"/>
            <w:noWrap/>
            <w:vAlign w:val="bottom"/>
            <w:hideMark/>
          </w:tcPr>
          <w:p w14:paraId="441A2AD1" w14:textId="77777777" w:rsidR="00EE1BDA" w:rsidRPr="00F84CA5" w:rsidRDefault="00EE1BDA" w:rsidP="008B31A5">
            <w:pPr>
              <w:spacing w:after="0" w:line="240" w:lineRule="auto"/>
              <w:jc w:val="both"/>
              <w:rPr>
                <w:rFonts w:ascii="Calibri" w:eastAsia="Times New Roman" w:hAnsi="Calibri" w:cs="Times New Roman"/>
                <w:b/>
                <w:bCs/>
                <w:color w:val="000000"/>
                <w:sz w:val="22"/>
                <w:lang w:val="fr-FR"/>
              </w:rPr>
            </w:pPr>
            <w:r w:rsidRPr="00F84CA5">
              <w:rPr>
                <w:rFonts w:ascii="Calibri" w:eastAsia="Times New Roman" w:hAnsi="Calibri" w:cs="Times New Roman"/>
                <w:b/>
                <w:bCs/>
                <w:color w:val="000000"/>
                <w:sz w:val="22"/>
                <w:lang w:val="fr-FR"/>
              </w:rPr>
              <w:t xml:space="preserve">Taxes - </w:t>
            </w:r>
            <w:proofErr w:type="spellStart"/>
            <w:proofErr w:type="gramStart"/>
            <w:r w:rsidRPr="00F84CA5">
              <w:rPr>
                <w:rFonts w:ascii="Calibri" w:eastAsia="Times New Roman" w:hAnsi="Calibri" w:cs="Times New Roman"/>
                <w:b/>
                <w:bCs/>
                <w:color w:val="000000"/>
                <w:sz w:val="22"/>
                <w:lang w:val="fr-FR"/>
              </w:rPr>
              <w:t>Other</w:t>
            </w:r>
            <w:proofErr w:type="spellEnd"/>
            <w:r w:rsidRPr="00F84CA5">
              <w:rPr>
                <w:rFonts w:ascii="Calibri" w:eastAsia="Times New Roman" w:hAnsi="Calibri" w:cs="Times New Roman"/>
                <w:b/>
                <w:bCs/>
                <w:color w:val="000000"/>
                <w:sz w:val="22"/>
                <w:lang w:val="fr-FR"/>
              </w:rPr>
              <w:t>:</w:t>
            </w:r>
            <w:proofErr w:type="gramEnd"/>
            <w:r w:rsidRPr="00F84CA5">
              <w:rPr>
                <w:rFonts w:ascii="Calibri" w:eastAsia="Times New Roman" w:hAnsi="Calibri" w:cs="Times New Roman"/>
                <w:b/>
                <w:bCs/>
                <w:color w:val="000000"/>
                <w:sz w:val="22"/>
                <w:lang w:val="fr-FR"/>
              </w:rPr>
              <w:br/>
              <w:t xml:space="preserve"> </w:t>
            </w:r>
            <w:proofErr w:type="spellStart"/>
            <w:r w:rsidRPr="00F84CA5">
              <w:rPr>
                <w:rFonts w:ascii="Calibri" w:eastAsia="Times New Roman" w:hAnsi="Calibri" w:cs="Times New Roman"/>
                <w:b/>
                <w:bCs/>
                <w:color w:val="000000"/>
                <w:sz w:val="22"/>
                <w:lang w:val="fr-FR"/>
              </w:rPr>
              <w:t>u_t</w:t>
            </w:r>
            <w:proofErr w:type="spellEnd"/>
            <w:r w:rsidRPr="00F84CA5">
              <w:rPr>
                <w:rFonts w:ascii="Calibri" w:eastAsia="Times New Roman" w:hAnsi="Calibri" w:cs="Times New Roman"/>
                <w:b/>
                <w:bCs/>
                <w:color w:val="000000"/>
                <w:sz w:val="22"/>
                <w:lang w:val="fr-FR"/>
              </w:rPr>
              <w:t xml:space="preserve"> + </w:t>
            </w:r>
            <w:proofErr w:type="spellStart"/>
            <w:r w:rsidRPr="00F84CA5">
              <w:rPr>
                <w:rFonts w:ascii="Calibri" w:eastAsia="Times New Roman" w:hAnsi="Calibri" w:cs="Times New Roman"/>
                <w:b/>
                <w:bCs/>
                <w:color w:val="000000"/>
                <w:sz w:val="22"/>
                <w:lang w:val="fr-FR"/>
              </w:rPr>
              <w:t>a_t</w:t>
            </w:r>
            <w:proofErr w:type="spellEnd"/>
            <w:r w:rsidRPr="00F84CA5">
              <w:rPr>
                <w:rFonts w:ascii="Calibri" w:eastAsia="Times New Roman" w:hAnsi="Calibri" w:cs="Times New Roman"/>
                <w:b/>
                <w:bCs/>
                <w:color w:val="000000"/>
                <w:sz w:val="22"/>
                <w:lang w:val="fr-FR"/>
              </w:rPr>
              <w:t xml:space="preserve"> + … + a_t+5</w:t>
            </w:r>
          </w:p>
        </w:tc>
        <w:tc>
          <w:tcPr>
            <w:tcW w:w="2693" w:type="dxa"/>
            <w:tcBorders>
              <w:top w:val="nil"/>
              <w:left w:val="single" w:sz="4" w:space="0" w:color="auto"/>
              <w:bottom w:val="single" w:sz="8" w:space="0" w:color="auto"/>
              <w:right w:val="single" w:sz="4" w:space="0" w:color="auto"/>
            </w:tcBorders>
            <w:shd w:val="clear" w:color="000000" w:fill="DDEBF7"/>
            <w:noWrap/>
            <w:vAlign w:val="center"/>
            <w:hideMark/>
          </w:tcPr>
          <w:p w14:paraId="3AE979AE" w14:textId="77777777" w:rsidR="00EE1BDA" w:rsidRPr="00EE1BDA" w:rsidRDefault="00EE1BDA" w:rsidP="008B31A5">
            <w:pPr>
              <w:spacing w:after="0" w:line="240" w:lineRule="auto"/>
              <w:jc w:val="both"/>
              <w:rPr>
                <w:rFonts w:ascii="Calibri" w:eastAsia="Times New Roman" w:hAnsi="Calibri" w:cs="Times New Roman"/>
                <w:b/>
                <w:bCs/>
                <w:sz w:val="22"/>
              </w:rPr>
            </w:pPr>
            <w:r w:rsidRPr="00EE1BDA">
              <w:rPr>
                <w:rFonts w:ascii="Calibri" w:eastAsia="Times New Roman" w:hAnsi="Calibri" w:cs="Times New Roman"/>
                <w:b/>
                <w:bCs/>
                <w:sz w:val="22"/>
              </w:rPr>
              <w:t>Other Tax Tot</w:t>
            </w:r>
          </w:p>
        </w:tc>
        <w:tc>
          <w:tcPr>
            <w:tcW w:w="1417" w:type="dxa"/>
            <w:vMerge/>
            <w:tcBorders>
              <w:left w:val="single" w:sz="4" w:space="0" w:color="auto"/>
              <w:bottom w:val="single" w:sz="8" w:space="0" w:color="auto"/>
              <w:right w:val="single" w:sz="4" w:space="0" w:color="auto"/>
            </w:tcBorders>
            <w:shd w:val="clear" w:color="auto" w:fill="F5A687"/>
            <w:vAlign w:val="center"/>
          </w:tcPr>
          <w:p w14:paraId="29EDD550" w14:textId="77777777" w:rsidR="00EE1BDA" w:rsidRPr="00EE1BDA" w:rsidRDefault="00EE1BDA" w:rsidP="008B31A5">
            <w:pPr>
              <w:spacing w:after="0" w:line="240" w:lineRule="auto"/>
              <w:jc w:val="both"/>
              <w:rPr>
                <w:rFonts w:ascii="Calibri" w:eastAsia="Times New Roman" w:hAnsi="Calibri" w:cs="Times New Roman"/>
                <w:b/>
                <w:bCs/>
                <w:sz w:val="22"/>
              </w:rPr>
            </w:pPr>
          </w:p>
        </w:tc>
      </w:tr>
      <w:tr w:rsidR="00EE1BDA" w:rsidRPr="00EE1BDA" w14:paraId="3E8558F2" w14:textId="77777777" w:rsidTr="00EE1BDA">
        <w:trPr>
          <w:trHeight w:val="600"/>
          <w:jc w:val="center"/>
        </w:trPr>
        <w:tc>
          <w:tcPr>
            <w:tcW w:w="2973" w:type="dxa"/>
            <w:tcBorders>
              <w:top w:val="nil"/>
              <w:left w:val="single" w:sz="4" w:space="0" w:color="auto"/>
              <w:bottom w:val="single" w:sz="4" w:space="0" w:color="auto"/>
              <w:right w:val="single" w:sz="4" w:space="0" w:color="auto"/>
            </w:tcBorders>
            <w:shd w:val="clear" w:color="000000" w:fill="F8CBAD"/>
            <w:noWrap/>
            <w:vAlign w:val="bottom"/>
            <w:hideMark/>
          </w:tcPr>
          <w:p w14:paraId="0F6F50AC" w14:textId="77777777" w:rsidR="00EE1BDA" w:rsidRPr="00EE1BDA" w:rsidRDefault="00EE1BDA" w:rsidP="008B31A5">
            <w:pPr>
              <w:spacing w:after="0" w:line="240" w:lineRule="auto"/>
              <w:jc w:val="both"/>
              <w:rPr>
                <w:rFonts w:ascii="Calibri" w:eastAsia="Times New Roman" w:hAnsi="Calibri" w:cs="Times New Roman"/>
                <w:b/>
                <w:bCs/>
                <w:color w:val="000000"/>
                <w:sz w:val="22"/>
              </w:rPr>
            </w:pPr>
            <w:r w:rsidRPr="00EE1BDA">
              <w:rPr>
                <w:rFonts w:ascii="Calibri" w:eastAsia="Times New Roman" w:hAnsi="Calibri" w:cs="Times New Roman"/>
                <w:b/>
                <w:bCs/>
                <w:color w:val="000000"/>
                <w:sz w:val="22"/>
              </w:rPr>
              <w:t>Spending - Consumption:</w:t>
            </w:r>
            <w:r w:rsidRPr="00EE1BDA">
              <w:rPr>
                <w:rFonts w:ascii="Calibri" w:eastAsia="Times New Roman" w:hAnsi="Calibri" w:cs="Times New Roman"/>
                <w:b/>
                <w:bCs/>
                <w:color w:val="000000"/>
                <w:sz w:val="22"/>
              </w:rPr>
              <w:br/>
              <w:t xml:space="preserve"> </w:t>
            </w:r>
            <w:proofErr w:type="spellStart"/>
            <w:r w:rsidRPr="00EE1BDA">
              <w:rPr>
                <w:rFonts w:ascii="Calibri" w:eastAsia="Times New Roman" w:hAnsi="Calibri" w:cs="Times New Roman"/>
                <w:b/>
                <w:bCs/>
                <w:color w:val="000000"/>
                <w:sz w:val="22"/>
              </w:rPr>
              <w:t>u_t</w:t>
            </w:r>
            <w:proofErr w:type="spellEnd"/>
            <w:r w:rsidRPr="00EE1BDA">
              <w:rPr>
                <w:rFonts w:ascii="Calibri" w:eastAsia="Times New Roman" w:hAnsi="Calibri" w:cs="Times New Roman"/>
                <w:b/>
                <w:bCs/>
                <w:color w:val="000000"/>
                <w:sz w:val="22"/>
              </w:rPr>
              <w:t xml:space="preserve"> + </w:t>
            </w:r>
            <w:proofErr w:type="spellStart"/>
            <w:r w:rsidRPr="00EE1BDA">
              <w:rPr>
                <w:rFonts w:ascii="Calibri" w:eastAsia="Times New Roman" w:hAnsi="Calibri" w:cs="Times New Roman"/>
                <w:b/>
                <w:bCs/>
                <w:color w:val="000000"/>
                <w:sz w:val="22"/>
              </w:rPr>
              <w:t>a_t</w:t>
            </w:r>
            <w:proofErr w:type="spellEnd"/>
            <w:r w:rsidRPr="00EE1BDA">
              <w:rPr>
                <w:rFonts w:ascii="Calibri" w:eastAsia="Times New Roman" w:hAnsi="Calibri" w:cs="Times New Roman"/>
                <w:b/>
                <w:bCs/>
                <w:color w:val="000000"/>
                <w:sz w:val="22"/>
              </w:rPr>
              <w:t xml:space="preserve"> + … + a_t+5</w:t>
            </w:r>
          </w:p>
        </w:tc>
        <w:tc>
          <w:tcPr>
            <w:tcW w:w="2693" w:type="dxa"/>
            <w:vMerge w:val="restart"/>
            <w:tcBorders>
              <w:top w:val="nil"/>
              <w:left w:val="single" w:sz="4" w:space="0" w:color="auto"/>
              <w:bottom w:val="single" w:sz="4" w:space="0" w:color="auto"/>
              <w:right w:val="single" w:sz="4" w:space="0" w:color="auto"/>
            </w:tcBorders>
            <w:shd w:val="clear" w:color="000000" w:fill="E2EFDA"/>
            <w:noWrap/>
            <w:vAlign w:val="center"/>
            <w:hideMark/>
          </w:tcPr>
          <w:p w14:paraId="3C768B62" w14:textId="77777777" w:rsidR="00EE1BDA" w:rsidRPr="00EE1BDA" w:rsidRDefault="00EE1BDA" w:rsidP="008B31A5">
            <w:pPr>
              <w:spacing w:after="0" w:line="240" w:lineRule="auto"/>
              <w:jc w:val="both"/>
              <w:rPr>
                <w:rFonts w:ascii="Calibri" w:eastAsia="Times New Roman" w:hAnsi="Calibri" w:cs="Times New Roman"/>
                <w:b/>
                <w:bCs/>
                <w:sz w:val="22"/>
              </w:rPr>
            </w:pPr>
            <w:r w:rsidRPr="00EE1BDA">
              <w:rPr>
                <w:rFonts w:ascii="Calibri" w:eastAsia="Times New Roman" w:hAnsi="Calibri" w:cs="Times New Roman"/>
                <w:b/>
                <w:bCs/>
                <w:sz w:val="22"/>
              </w:rPr>
              <w:t>Cons-Inv Tot</w:t>
            </w:r>
          </w:p>
        </w:tc>
        <w:tc>
          <w:tcPr>
            <w:tcW w:w="1417" w:type="dxa"/>
            <w:vMerge w:val="restart"/>
            <w:tcBorders>
              <w:top w:val="nil"/>
              <w:left w:val="single" w:sz="4" w:space="0" w:color="auto"/>
              <w:right w:val="single" w:sz="4" w:space="0" w:color="auto"/>
            </w:tcBorders>
            <w:shd w:val="clear" w:color="auto" w:fill="F5A687"/>
            <w:vAlign w:val="center"/>
          </w:tcPr>
          <w:p w14:paraId="2ACE1195" w14:textId="77777777" w:rsidR="00EE1BDA" w:rsidRPr="00EE1BDA" w:rsidRDefault="00EE1BDA" w:rsidP="008B31A5">
            <w:pPr>
              <w:spacing w:after="0" w:line="240" w:lineRule="auto"/>
              <w:jc w:val="both"/>
              <w:rPr>
                <w:rFonts w:ascii="Calibri" w:eastAsia="Times New Roman" w:hAnsi="Calibri" w:cs="Times New Roman"/>
                <w:b/>
                <w:bCs/>
                <w:sz w:val="22"/>
              </w:rPr>
            </w:pPr>
            <w:r>
              <w:rPr>
                <w:rFonts w:ascii="Calibri" w:eastAsia="Times New Roman" w:hAnsi="Calibri" w:cs="Times New Roman"/>
                <w:b/>
                <w:bCs/>
                <w:sz w:val="22"/>
              </w:rPr>
              <w:t>Spend Tot</w:t>
            </w:r>
          </w:p>
        </w:tc>
      </w:tr>
      <w:tr w:rsidR="00EE1BDA" w:rsidRPr="001B7B35" w14:paraId="3AD6A447" w14:textId="77777777" w:rsidTr="00EE1BDA">
        <w:trPr>
          <w:trHeight w:val="300"/>
          <w:jc w:val="center"/>
        </w:trPr>
        <w:tc>
          <w:tcPr>
            <w:tcW w:w="2973" w:type="dxa"/>
            <w:tcBorders>
              <w:top w:val="nil"/>
              <w:left w:val="single" w:sz="4" w:space="0" w:color="auto"/>
              <w:bottom w:val="single" w:sz="4" w:space="0" w:color="auto"/>
              <w:right w:val="single" w:sz="4" w:space="0" w:color="auto"/>
            </w:tcBorders>
            <w:shd w:val="clear" w:color="000000" w:fill="F8CBAD"/>
            <w:noWrap/>
            <w:vAlign w:val="bottom"/>
            <w:hideMark/>
          </w:tcPr>
          <w:p w14:paraId="1CB21143" w14:textId="77777777" w:rsidR="00EE1BDA" w:rsidRPr="00F84CA5" w:rsidRDefault="00EE1BDA" w:rsidP="008B31A5">
            <w:pPr>
              <w:spacing w:after="0" w:line="240" w:lineRule="auto"/>
              <w:jc w:val="both"/>
              <w:rPr>
                <w:rFonts w:ascii="Calibri" w:eastAsia="Times New Roman" w:hAnsi="Calibri" w:cs="Times New Roman"/>
                <w:b/>
                <w:bCs/>
                <w:color w:val="000000"/>
                <w:sz w:val="22"/>
                <w:lang w:val="fr-FR"/>
              </w:rPr>
            </w:pPr>
            <w:proofErr w:type="spellStart"/>
            <w:r w:rsidRPr="00F84CA5">
              <w:rPr>
                <w:rFonts w:ascii="Calibri" w:eastAsia="Times New Roman" w:hAnsi="Calibri" w:cs="Times New Roman"/>
                <w:b/>
                <w:bCs/>
                <w:color w:val="000000"/>
                <w:sz w:val="22"/>
                <w:lang w:val="fr-FR"/>
              </w:rPr>
              <w:t>Spending</w:t>
            </w:r>
            <w:proofErr w:type="spellEnd"/>
            <w:r w:rsidRPr="00F84CA5">
              <w:rPr>
                <w:rFonts w:ascii="Calibri" w:eastAsia="Times New Roman" w:hAnsi="Calibri" w:cs="Times New Roman"/>
                <w:b/>
                <w:bCs/>
                <w:color w:val="000000"/>
                <w:sz w:val="22"/>
                <w:lang w:val="fr-FR"/>
              </w:rPr>
              <w:t xml:space="preserve"> - </w:t>
            </w:r>
            <w:proofErr w:type="gramStart"/>
            <w:r w:rsidRPr="00F84CA5">
              <w:rPr>
                <w:rFonts w:ascii="Calibri" w:eastAsia="Times New Roman" w:hAnsi="Calibri" w:cs="Times New Roman"/>
                <w:b/>
                <w:bCs/>
                <w:color w:val="000000"/>
                <w:sz w:val="22"/>
                <w:lang w:val="fr-FR"/>
              </w:rPr>
              <w:t>Salaries:</w:t>
            </w:r>
            <w:proofErr w:type="gramEnd"/>
            <w:r w:rsidRPr="00F84CA5">
              <w:rPr>
                <w:rFonts w:ascii="Calibri" w:eastAsia="Times New Roman" w:hAnsi="Calibri" w:cs="Times New Roman"/>
                <w:b/>
                <w:bCs/>
                <w:color w:val="000000"/>
                <w:sz w:val="22"/>
                <w:lang w:val="fr-FR"/>
              </w:rPr>
              <w:br/>
              <w:t xml:space="preserve"> </w:t>
            </w:r>
            <w:proofErr w:type="spellStart"/>
            <w:r w:rsidRPr="00F84CA5">
              <w:rPr>
                <w:rFonts w:ascii="Calibri" w:eastAsia="Times New Roman" w:hAnsi="Calibri" w:cs="Times New Roman"/>
                <w:b/>
                <w:bCs/>
                <w:color w:val="000000"/>
                <w:sz w:val="22"/>
                <w:lang w:val="fr-FR"/>
              </w:rPr>
              <w:t>u_t</w:t>
            </w:r>
            <w:proofErr w:type="spellEnd"/>
            <w:r w:rsidRPr="00F84CA5">
              <w:rPr>
                <w:rFonts w:ascii="Calibri" w:eastAsia="Times New Roman" w:hAnsi="Calibri" w:cs="Times New Roman"/>
                <w:b/>
                <w:bCs/>
                <w:color w:val="000000"/>
                <w:sz w:val="22"/>
                <w:lang w:val="fr-FR"/>
              </w:rPr>
              <w:t xml:space="preserve"> + </w:t>
            </w:r>
            <w:proofErr w:type="spellStart"/>
            <w:r w:rsidRPr="00F84CA5">
              <w:rPr>
                <w:rFonts w:ascii="Calibri" w:eastAsia="Times New Roman" w:hAnsi="Calibri" w:cs="Times New Roman"/>
                <w:b/>
                <w:bCs/>
                <w:color w:val="000000"/>
                <w:sz w:val="22"/>
                <w:lang w:val="fr-FR"/>
              </w:rPr>
              <w:t>a_t</w:t>
            </w:r>
            <w:proofErr w:type="spellEnd"/>
            <w:r w:rsidRPr="00F84CA5">
              <w:rPr>
                <w:rFonts w:ascii="Calibri" w:eastAsia="Times New Roman" w:hAnsi="Calibri" w:cs="Times New Roman"/>
                <w:b/>
                <w:bCs/>
                <w:color w:val="000000"/>
                <w:sz w:val="22"/>
                <w:lang w:val="fr-FR"/>
              </w:rPr>
              <w:t xml:space="preserve"> + … + a_t+5</w:t>
            </w:r>
          </w:p>
        </w:tc>
        <w:tc>
          <w:tcPr>
            <w:tcW w:w="2693" w:type="dxa"/>
            <w:vMerge/>
            <w:tcBorders>
              <w:top w:val="nil"/>
              <w:left w:val="single" w:sz="4" w:space="0" w:color="auto"/>
              <w:bottom w:val="single" w:sz="4" w:space="0" w:color="auto"/>
              <w:right w:val="single" w:sz="4" w:space="0" w:color="auto"/>
            </w:tcBorders>
            <w:vAlign w:val="center"/>
            <w:hideMark/>
          </w:tcPr>
          <w:p w14:paraId="764CE68B" w14:textId="77777777" w:rsidR="00EE1BDA" w:rsidRPr="00F84CA5" w:rsidRDefault="00EE1BDA" w:rsidP="008B31A5">
            <w:pPr>
              <w:spacing w:after="0" w:line="240" w:lineRule="auto"/>
              <w:jc w:val="both"/>
              <w:rPr>
                <w:rFonts w:ascii="Calibri" w:eastAsia="Times New Roman" w:hAnsi="Calibri" w:cs="Times New Roman"/>
                <w:b/>
                <w:bCs/>
                <w:sz w:val="22"/>
                <w:lang w:val="fr-FR"/>
              </w:rPr>
            </w:pPr>
          </w:p>
        </w:tc>
        <w:tc>
          <w:tcPr>
            <w:tcW w:w="1417" w:type="dxa"/>
            <w:vMerge/>
            <w:tcBorders>
              <w:left w:val="single" w:sz="4" w:space="0" w:color="auto"/>
              <w:right w:val="single" w:sz="4" w:space="0" w:color="auto"/>
            </w:tcBorders>
            <w:shd w:val="clear" w:color="auto" w:fill="F5A687"/>
            <w:vAlign w:val="center"/>
          </w:tcPr>
          <w:p w14:paraId="7F354CF7" w14:textId="77777777" w:rsidR="00EE1BDA" w:rsidRPr="00F84CA5" w:rsidRDefault="00EE1BDA" w:rsidP="008B31A5">
            <w:pPr>
              <w:spacing w:after="0" w:line="240" w:lineRule="auto"/>
              <w:jc w:val="both"/>
              <w:rPr>
                <w:rFonts w:ascii="Calibri" w:eastAsia="Times New Roman" w:hAnsi="Calibri" w:cs="Times New Roman"/>
                <w:b/>
                <w:bCs/>
                <w:sz w:val="22"/>
                <w:lang w:val="fr-FR"/>
              </w:rPr>
            </w:pPr>
          </w:p>
        </w:tc>
      </w:tr>
      <w:tr w:rsidR="00EE1BDA" w:rsidRPr="00EE1BDA" w14:paraId="6503257F" w14:textId="77777777" w:rsidTr="00EE1BDA">
        <w:trPr>
          <w:trHeight w:val="600"/>
          <w:jc w:val="center"/>
        </w:trPr>
        <w:tc>
          <w:tcPr>
            <w:tcW w:w="2973" w:type="dxa"/>
            <w:tcBorders>
              <w:top w:val="nil"/>
              <w:left w:val="single" w:sz="4" w:space="0" w:color="auto"/>
              <w:bottom w:val="single" w:sz="4" w:space="0" w:color="auto"/>
              <w:right w:val="single" w:sz="4" w:space="0" w:color="auto"/>
            </w:tcBorders>
            <w:shd w:val="clear" w:color="000000" w:fill="F8CBAD"/>
            <w:noWrap/>
            <w:vAlign w:val="bottom"/>
            <w:hideMark/>
          </w:tcPr>
          <w:p w14:paraId="57691E12" w14:textId="77777777" w:rsidR="00EE1BDA" w:rsidRPr="00EE1BDA" w:rsidRDefault="00EE1BDA" w:rsidP="008B31A5">
            <w:pPr>
              <w:spacing w:after="0" w:line="240" w:lineRule="auto"/>
              <w:jc w:val="both"/>
              <w:rPr>
                <w:rFonts w:ascii="Calibri" w:eastAsia="Times New Roman" w:hAnsi="Calibri" w:cs="Times New Roman"/>
                <w:b/>
                <w:bCs/>
                <w:color w:val="000000"/>
                <w:sz w:val="22"/>
              </w:rPr>
            </w:pPr>
            <w:r w:rsidRPr="00EE1BDA">
              <w:rPr>
                <w:rFonts w:ascii="Calibri" w:eastAsia="Times New Roman" w:hAnsi="Calibri" w:cs="Times New Roman"/>
                <w:b/>
                <w:bCs/>
                <w:color w:val="000000"/>
                <w:sz w:val="22"/>
              </w:rPr>
              <w:t>Spending - Investments:</w:t>
            </w:r>
            <w:r w:rsidRPr="00EE1BDA">
              <w:rPr>
                <w:rFonts w:ascii="Calibri" w:eastAsia="Times New Roman" w:hAnsi="Calibri" w:cs="Times New Roman"/>
                <w:b/>
                <w:bCs/>
                <w:color w:val="000000"/>
                <w:sz w:val="22"/>
              </w:rPr>
              <w:br/>
              <w:t xml:space="preserve"> </w:t>
            </w:r>
            <w:proofErr w:type="spellStart"/>
            <w:r w:rsidRPr="00EE1BDA">
              <w:rPr>
                <w:rFonts w:ascii="Calibri" w:eastAsia="Times New Roman" w:hAnsi="Calibri" w:cs="Times New Roman"/>
                <w:b/>
                <w:bCs/>
                <w:color w:val="000000"/>
                <w:sz w:val="22"/>
              </w:rPr>
              <w:t>u_t</w:t>
            </w:r>
            <w:proofErr w:type="spellEnd"/>
            <w:r w:rsidRPr="00EE1BDA">
              <w:rPr>
                <w:rFonts w:ascii="Calibri" w:eastAsia="Times New Roman" w:hAnsi="Calibri" w:cs="Times New Roman"/>
                <w:b/>
                <w:bCs/>
                <w:color w:val="000000"/>
                <w:sz w:val="22"/>
              </w:rPr>
              <w:t xml:space="preserve"> + </w:t>
            </w:r>
            <w:proofErr w:type="spellStart"/>
            <w:r w:rsidRPr="00EE1BDA">
              <w:rPr>
                <w:rFonts w:ascii="Calibri" w:eastAsia="Times New Roman" w:hAnsi="Calibri" w:cs="Times New Roman"/>
                <w:b/>
                <w:bCs/>
                <w:color w:val="000000"/>
                <w:sz w:val="22"/>
              </w:rPr>
              <w:t>a_t</w:t>
            </w:r>
            <w:proofErr w:type="spellEnd"/>
            <w:r w:rsidRPr="00EE1BDA">
              <w:rPr>
                <w:rFonts w:ascii="Calibri" w:eastAsia="Times New Roman" w:hAnsi="Calibri" w:cs="Times New Roman"/>
                <w:b/>
                <w:bCs/>
                <w:color w:val="000000"/>
                <w:sz w:val="22"/>
              </w:rPr>
              <w:t xml:space="preserve"> + … + a_t+5</w:t>
            </w:r>
          </w:p>
        </w:tc>
        <w:tc>
          <w:tcPr>
            <w:tcW w:w="2693" w:type="dxa"/>
            <w:vMerge/>
            <w:tcBorders>
              <w:top w:val="nil"/>
              <w:left w:val="single" w:sz="4" w:space="0" w:color="auto"/>
              <w:bottom w:val="single" w:sz="4" w:space="0" w:color="auto"/>
              <w:right w:val="single" w:sz="4" w:space="0" w:color="auto"/>
            </w:tcBorders>
            <w:vAlign w:val="center"/>
            <w:hideMark/>
          </w:tcPr>
          <w:p w14:paraId="76B3700D" w14:textId="77777777" w:rsidR="00EE1BDA" w:rsidRPr="00EE1BDA" w:rsidRDefault="00EE1BDA" w:rsidP="008B31A5">
            <w:pPr>
              <w:spacing w:after="0" w:line="240" w:lineRule="auto"/>
              <w:jc w:val="both"/>
              <w:rPr>
                <w:rFonts w:ascii="Calibri" w:eastAsia="Times New Roman" w:hAnsi="Calibri" w:cs="Times New Roman"/>
                <w:b/>
                <w:bCs/>
                <w:sz w:val="22"/>
              </w:rPr>
            </w:pPr>
          </w:p>
        </w:tc>
        <w:tc>
          <w:tcPr>
            <w:tcW w:w="1417" w:type="dxa"/>
            <w:vMerge/>
            <w:tcBorders>
              <w:left w:val="single" w:sz="4" w:space="0" w:color="auto"/>
              <w:right w:val="single" w:sz="4" w:space="0" w:color="auto"/>
            </w:tcBorders>
            <w:shd w:val="clear" w:color="auto" w:fill="F5A687"/>
            <w:vAlign w:val="center"/>
          </w:tcPr>
          <w:p w14:paraId="5CDEA8EB" w14:textId="77777777" w:rsidR="00EE1BDA" w:rsidRPr="00EE1BDA" w:rsidRDefault="00EE1BDA" w:rsidP="008B31A5">
            <w:pPr>
              <w:spacing w:after="0" w:line="240" w:lineRule="auto"/>
              <w:jc w:val="both"/>
              <w:rPr>
                <w:rFonts w:ascii="Calibri" w:eastAsia="Times New Roman" w:hAnsi="Calibri" w:cs="Times New Roman"/>
                <w:b/>
                <w:bCs/>
                <w:sz w:val="22"/>
              </w:rPr>
            </w:pPr>
          </w:p>
        </w:tc>
      </w:tr>
      <w:tr w:rsidR="00EE1BDA" w:rsidRPr="00EE1BDA" w14:paraId="67CA964C" w14:textId="77777777" w:rsidTr="00EE1BDA">
        <w:trPr>
          <w:trHeight w:val="300"/>
          <w:jc w:val="center"/>
        </w:trPr>
        <w:tc>
          <w:tcPr>
            <w:tcW w:w="2973" w:type="dxa"/>
            <w:tcBorders>
              <w:top w:val="nil"/>
              <w:left w:val="single" w:sz="4" w:space="0" w:color="auto"/>
              <w:bottom w:val="single" w:sz="4" w:space="0" w:color="auto"/>
              <w:right w:val="single" w:sz="4" w:space="0" w:color="auto"/>
            </w:tcBorders>
            <w:shd w:val="clear" w:color="000000" w:fill="F8CBAD"/>
            <w:noWrap/>
            <w:vAlign w:val="bottom"/>
            <w:hideMark/>
          </w:tcPr>
          <w:p w14:paraId="44C26914" w14:textId="77777777" w:rsidR="00EE1BDA" w:rsidRPr="00F84CA5" w:rsidRDefault="00EE1BDA" w:rsidP="008B31A5">
            <w:pPr>
              <w:spacing w:after="0" w:line="240" w:lineRule="auto"/>
              <w:jc w:val="both"/>
              <w:rPr>
                <w:rFonts w:ascii="Calibri" w:eastAsia="Times New Roman" w:hAnsi="Calibri" w:cs="Times New Roman"/>
                <w:b/>
                <w:bCs/>
                <w:color w:val="000000"/>
                <w:sz w:val="22"/>
                <w:lang w:val="fr-FR"/>
              </w:rPr>
            </w:pPr>
            <w:proofErr w:type="spellStart"/>
            <w:r w:rsidRPr="00F84CA5">
              <w:rPr>
                <w:rFonts w:ascii="Calibri" w:eastAsia="Times New Roman" w:hAnsi="Calibri" w:cs="Times New Roman"/>
                <w:b/>
                <w:bCs/>
                <w:color w:val="000000"/>
                <w:sz w:val="22"/>
                <w:lang w:val="fr-FR"/>
              </w:rPr>
              <w:t>Spending</w:t>
            </w:r>
            <w:proofErr w:type="spellEnd"/>
            <w:r w:rsidRPr="00F84CA5">
              <w:rPr>
                <w:rFonts w:ascii="Calibri" w:eastAsia="Times New Roman" w:hAnsi="Calibri" w:cs="Times New Roman"/>
                <w:b/>
                <w:bCs/>
                <w:color w:val="000000"/>
                <w:sz w:val="22"/>
                <w:lang w:val="fr-FR"/>
              </w:rPr>
              <w:t xml:space="preserve"> - </w:t>
            </w:r>
            <w:proofErr w:type="spellStart"/>
            <w:proofErr w:type="gramStart"/>
            <w:r w:rsidRPr="00F84CA5">
              <w:rPr>
                <w:rFonts w:ascii="Calibri" w:eastAsia="Times New Roman" w:hAnsi="Calibri" w:cs="Times New Roman"/>
                <w:b/>
                <w:bCs/>
                <w:color w:val="000000"/>
                <w:sz w:val="22"/>
                <w:lang w:val="fr-FR"/>
              </w:rPr>
              <w:t>Transfers</w:t>
            </w:r>
            <w:proofErr w:type="spellEnd"/>
            <w:r w:rsidRPr="00F84CA5">
              <w:rPr>
                <w:rFonts w:ascii="Calibri" w:eastAsia="Times New Roman" w:hAnsi="Calibri" w:cs="Times New Roman"/>
                <w:b/>
                <w:bCs/>
                <w:color w:val="000000"/>
                <w:sz w:val="22"/>
                <w:lang w:val="fr-FR"/>
              </w:rPr>
              <w:t>:</w:t>
            </w:r>
            <w:proofErr w:type="gramEnd"/>
            <w:r w:rsidRPr="00F84CA5">
              <w:rPr>
                <w:rFonts w:ascii="Calibri" w:eastAsia="Times New Roman" w:hAnsi="Calibri" w:cs="Times New Roman"/>
                <w:b/>
                <w:bCs/>
                <w:color w:val="000000"/>
                <w:sz w:val="22"/>
                <w:lang w:val="fr-FR"/>
              </w:rPr>
              <w:br/>
              <w:t xml:space="preserve"> </w:t>
            </w:r>
            <w:proofErr w:type="spellStart"/>
            <w:r w:rsidRPr="00F84CA5">
              <w:rPr>
                <w:rFonts w:ascii="Calibri" w:eastAsia="Times New Roman" w:hAnsi="Calibri" w:cs="Times New Roman"/>
                <w:b/>
                <w:bCs/>
                <w:color w:val="000000"/>
                <w:sz w:val="22"/>
                <w:lang w:val="fr-FR"/>
              </w:rPr>
              <w:t>u_t</w:t>
            </w:r>
            <w:proofErr w:type="spellEnd"/>
            <w:r w:rsidRPr="00F84CA5">
              <w:rPr>
                <w:rFonts w:ascii="Calibri" w:eastAsia="Times New Roman" w:hAnsi="Calibri" w:cs="Times New Roman"/>
                <w:b/>
                <w:bCs/>
                <w:color w:val="000000"/>
                <w:sz w:val="22"/>
                <w:lang w:val="fr-FR"/>
              </w:rPr>
              <w:t xml:space="preserve"> + </w:t>
            </w:r>
            <w:proofErr w:type="spellStart"/>
            <w:r w:rsidRPr="00F84CA5">
              <w:rPr>
                <w:rFonts w:ascii="Calibri" w:eastAsia="Times New Roman" w:hAnsi="Calibri" w:cs="Times New Roman"/>
                <w:b/>
                <w:bCs/>
                <w:color w:val="000000"/>
                <w:sz w:val="22"/>
                <w:lang w:val="fr-FR"/>
              </w:rPr>
              <w:t>a_t</w:t>
            </w:r>
            <w:proofErr w:type="spellEnd"/>
            <w:r w:rsidRPr="00F84CA5">
              <w:rPr>
                <w:rFonts w:ascii="Calibri" w:eastAsia="Times New Roman" w:hAnsi="Calibri" w:cs="Times New Roman"/>
                <w:b/>
                <w:bCs/>
                <w:color w:val="000000"/>
                <w:sz w:val="22"/>
                <w:lang w:val="fr-FR"/>
              </w:rPr>
              <w:t xml:space="preserve"> + … + a_t+5</w:t>
            </w:r>
          </w:p>
        </w:tc>
        <w:tc>
          <w:tcPr>
            <w:tcW w:w="2693" w:type="dxa"/>
            <w:tcBorders>
              <w:top w:val="nil"/>
              <w:left w:val="single" w:sz="4" w:space="0" w:color="auto"/>
              <w:bottom w:val="single" w:sz="4" w:space="0" w:color="auto"/>
              <w:right w:val="single" w:sz="4" w:space="0" w:color="auto"/>
            </w:tcBorders>
            <w:shd w:val="clear" w:color="000000" w:fill="E2EFDA"/>
            <w:noWrap/>
            <w:vAlign w:val="center"/>
            <w:hideMark/>
          </w:tcPr>
          <w:p w14:paraId="71460C57" w14:textId="77777777" w:rsidR="00EE1BDA" w:rsidRPr="00EE1BDA" w:rsidRDefault="00EE1BDA" w:rsidP="008B31A5">
            <w:pPr>
              <w:spacing w:after="0" w:line="240" w:lineRule="auto"/>
              <w:jc w:val="both"/>
              <w:rPr>
                <w:rFonts w:ascii="Calibri" w:eastAsia="Times New Roman" w:hAnsi="Calibri" w:cs="Times New Roman"/>
                <w:b/>
                <w:bCs/>
                <w:sz w:val="22"/>
              </w:rPr>
            </w:pPr>
            <w:r w:rsidRPr="00EE1BDA">
              <w:rPr>
                <w:rFonts w:ascii="Calibri" w:eastAsia="Times New Roman" w:hAnsi="Calibri" w:cs="Times New Roman"/>
                <w:b/>
                <w:bCs/>
                <w:sz w:val="22"/>
              </w:rPr>
              <w:t>Transfers Tot</w:t>
            </w:r>
          </w:p>
        </w:tc>
        <w:tc>
          <w:tcPr>
            <w:tcW w:w="1417" w:type="dxa"/>
            <w:vMerge/>
            <w:tcBorders>
              <w:left w:val="single" w:sz="4" w:space="0" w:color="auto"/>
              <w:right w:val="single" w:sz="4" w:space="0" w:color="auto"/>
            </w:tcBorders>
            <w:shd w:val="clear" w:color="auto" w:fill="F5A687"/>
            <w:vAlign w:val="center"/>
          </w:tcPr>
          <w:p w14:paraId="27544AE9" w14:textId="77777777" w:rsidR="00EE1BDA" w:rsidRPr="00EE1BDA" w:rsidRDefault="00EE1BDA" w:rsidP="008B31A5">
            <w:pPr>
              <w:spacing w:after="0" w:line="240" w:lineRule="auto"/>
              <w:jc w:val="both"/>
              <w:rPr>
                <w:rFonts w:ascii="Calibri" w:eastAsia="Times New Roman" w:hAnsi="Calibri" w:cs="Times New Roman"/>
                <w:b/>
                <w:bCs/>
                <w:sz w:val="22"/>
              </w:rPr>
            </w:pPr>
          </w:p>
        </w:tc>
      </w:tr>
      <w:tr w:rsidR="00EE1BDA" w:rsidRPr="00EE1BDA" w14:paraId="7B8C663A" w14:textId="77777777" w:rsidTr="00EE1BDA">
        <w:trPr>
          <w:trHeight w:val="600"/>
          <w:jc w:val="center"/>
        </w:trPr>
        <w:tc>
          <w:tcPr>
            <w:tcW w:w="2973" w:type="dxa"/>
            <w:tcBorders>
              <w:top w:val="nil"/>
              <w:left w:val="single" w:sz="4" w:space="0" w:color="auto"/>
              <w:bottom w:val="single" w:sz="4" w:space="0" w:color="auto"/>
              <w:right w:val="single" w:sz="4" w:space="0" w:color="auto"/>
            </w:tcBorders>
            <w:shd w:val="clear" w:color="000000" w:fill="F8CBAD"/>
            <w:noWrap/>
            <w:vAlign w:val="bottom"/>
            <w:hideMark/>
          </w:tcPr>
          <w:p w14:paraId="61F4D0A7" w14:textId="77777777" w:rsidR="00EE1BDA" w:rsidRPr="00EE1BDA" w:rsidRDefault="00EE1BDA" w:rsidP="008B31A5">
            <w:pPr>
              <w:spacing w:after="0" w:line="240" w:lineRule="auto"/>
              <w:jc w:val="both"/>
              <w:rPr>
                <w:rFonts w:ascii="Calibri" w:eastAsia="Times New Roman" w:hAnsi="Calibri" w:cs="Times New Roman"/>
                <w:b/>
                <w:bCs/>
                <w:color w:val="000000"/>
                <w:sz w:val="22"/>
              </w:rPr>
            </w:pPr>
            <w:r w:rsidRPr="00EE1BDA">
              <w:rPr>
                <w:rFonts w:ascii="Calibri" w:eastAsia="Times New Roman" w:hAnsi="Calibri" w:cs="Times New Roman"/>
                <w:b/>
                <w:bCs/>
                <w:color w:val="000000"/>
                <w:sz w:val="22"/>
              </w:rPr>
              <w:lastRenderedPageBreak/>
              <w:t>Spending - Not yet classified:</w:t>
            </w:r>
            <w:r w:rsidRPr="00EE1BDA">
              <w:rPr>
                <w:rFonts w:ascii="Calibri" w:eastAsia="Times New Roman" w:hAnsi="Calibri" w:cs="Times New Roman"/>
                <w:b/>
                <w:bCs/>
                <w:color w:val="000000"/>
                <w:sz w:val="22"/>
              </w:rPr>
              <w:br/>
              <w:t xml:space="preserve"> </w:t>
            </w:r>
            <w:proofErr w:type="spellStart"/>
            <w:r w:rsidRPr="00EE1BDA">
              <w:rPr>
                <w:rFonts w:ascii="Calibri" w:eastAsia="Times New Roman" w:hAnsi="Calibri" w:cs="Times New Roman"/>
                <w:b/>
                <w:bCs/>
                <w:color w:val="000000"/>
                <w:sz w:val="22"/>
              </w:rPr>
              <w:t>u_t</w:t>
            </w:r>
            <w:proofErr w:type="spellEnd"/>
            <w:r w:rsidRPr="00EE1BDA">
              <w:rPr>
                <w:rFonts w:ascii="Calibri" w:eastAsia="Times New Roman" w:hAnsi="Calibri" w:cs="Times New Roman"/>
                <w:b/>
                <w:bCs/>
                <w:color w:val="000000"/>
                <w:sz w:val="22"/>
              </w:rPr>
              <w:t xml:space="preserve"> + </w:t>
            </w:r>
            <w:proofErr w:type="spellStart"/>
            <w:r w:rsidRPr="00EE1BDA">
              <w:rPr>
                <w:rFonts w:ascii="Calibri" w:eastAsia="Times New Roman" w:hAnsi="Calibri" w:cs="Times New Roman"/>
                <w:b/>
                <w:bCs/>
                <w:color w:val="000000"/>
                <w:sz w:val="22"/>
              </w:rPr>
              <w:t>a_t</w:t>
            </w:r>
            <w:proofErr w:type="spellEnd"/>
            <w:r w:rsidRPr="00EE1BDA">
              <w:rPr>
                <w:rFonts w:ascii="Calibri" w:eastAsia="Times New Roman" w:hAnsi="Calibri" w:cs="Times New Roman"/>
                <w:b/>
                <w:bCs/>
                <w:color w:val="000000"/>
                <w:sz w:val="22"/>
              </w:rPr>
              <w:t xml:space="preserve"> + … + a_t+5</w:t>
            </w:r>
          </w:p>
        </w:tc>
        <w:tc>
          <w:tcPr>
            <w:tcW w:w="2693" w:type="dxa"/>
            <w:tcBorders>
              <w:top w:val="nil"/>
              <w:left w:val="single" w:sz="4" w:space="0" w:color="auto"/>
              <w:bottom w:val="single" w:sz="4" w:space="0" w:color="auto"/>
              <w:right w:val="single" w:sz="4" w:space="0" w:color="auto"/>
            </w:tcBorders>
            <w:shd w:val="clear" w:color="000000" w:fill="E2EFDA"/>
            <w:noWrap/>
            <w:vAlign w:val="center"/>
            <w:hideMark/>
          </w:tcPr>
          <w:p w14:paraId="07F577DB" w14:textId="77777777" w:rsidR="00EE1BDA" w:rsidRPr="00EE1BDA" w:rsidRDefault="00EE1BDA" w:rsidP="008B31A5">
            <w:pPr>
              <w:spacing w:after="0" w:line="240" w:lineRule="auto"/>
              <w:jc w:val="both"/>
              <w:rPr>
                <w:rFonts w:ascii="Calibri" w:eastAsia="Times New Roman" w:hAnsi="Calibri" w:cs="Times New Roman"/>
                <w:b/>
                <w:bCs/>
                <w:sz w:val="22"/>
              </w:rPr>
            </w:pPr>
            <w:r w:rsidRPr="00EE1BDA">
              <w:rPr>
                <w:rFonts w:ascii="Calibri" w:eastAsia="Times New Roman" w:hAnsi="Calibri" w:cs="Times New Roman"/>
                <w:b/>
                <w:bCs/>
                <w:sz w:val="22"/>
              </w:rPr>
              <w:t>NYC Spend Tot</w:t>
            </w:r>
          </w:p>
        </w:tc>
        <w:tc>
          <w:tcPr>
            <w:tcW w:w="1417" w:type="dxa"/>
            <w:vMerge/>
            <w:tcBorders>
              <w:left w:val="single" w:sz="4" w:space="0" w:color="auto"/>
              <w:right w:val="single" w:sz="4" w:space="0" w:color="auto"/>
            </w:tcBorders>
            <w:shd w:val="clear" w:color="auto" w:fill="F5A687"/>
            <w:vAlign w:val="center"/>
          </w:tcPr>
          <w:p w14:paraId="6F03B039" w14:textId="77777777" w:rsidR="00EE1BDA" w:rsidRPr="00EE1BDA" w:rsidRDefault="00EE1BDA" w:rsidP="008B31A5">
            <w:pPr>
              <w:spacing w:after="0" w:line="240" w:lineRule="auto"/>
              <w:jc w:val="both"/>
              <w:rPr>
                <w:rFonts w:ascii="Calibri" w:eastAsia="Times New Roman" w:hAnsi="Calibri" w:cs="Times New Roman"/>
                <w:b/>
                <w:bCs/>
                <w:sz w:val="22"/>
              </w:rPr>
            </w:pPr>
          </w:p>
        </w:tc>
      </w:tr>
      <w:tr w:rsidR="00EE1BDA" w:rsidRPr="00EE1BDA" w14:paraId="7942EE51" w14:textId="77777777" w:rsidTr="00EE1BDA">
        <w:trPr>
          <w:trHeight w:val="555"/>
          <w:jc w:val="center"/>
        </w:trPr>
        <w:tc>
          <w:tcPr>
            <w:tcW w:w="2973" w:type="dxa"/>
            <w:tcBorders>
              <w:top w:val="nil"/>
              <w:left w:val="single" w:sz="4" w:space="0" w:color="auto"/>
              <w:bottom w:val="single" w:sz="4" w:space="0" w:color="auto"/>
              <w:right w:val="single" w:sz="4" w:space="0" w:color="auto"/>
            </w:tcBorders>
            <w:shd w:val="clear" w:color="000000" w:fill="F8CBAD"/>
            <w:noWrap/>
            <w:vAlign w:val="bottom"/>
            <w:hideMark/>
          </w:tcPr>
          <w:p w14:paraId="543AB216" w14:textId="77777777" w:rsidR="00EE1BDA" w:rsidRPr="00EE1BDA" w:rsidRDefault="00EE1BDA" w:rsidP="008B31A5">
            <w:pPr>
              <w:spacing w:after="0" w:line="240" w:lineRule="auto"/>
              <w:jc w:val="both"/>
              <w:rPr>
                <w:rFonts w:ascii="Calibri" w:eastAsia="Times New Roman" w:hAnsi="Calibri" w:cs="Times New Roman"/>
                <w:b/>
                <w:bCs/>
                <w:color w:val="000000"/>
                <w:sz w:val="22"/>
              </w:rPr>
            </w:pPr>
            <w:r w:rsidRPr="00EE1BDA">
              <w:rPr>
                <w:rFonts w:ascii="Calibri" w:eastAsia="Times New Roman" w:hAnsi="Calibri" w:cs="Times New Roman"/>
                <w:b/>
                <w:bCs/>
                <w:color w:val="000000"/>
                <w:sz w:val="22"/>
              </w:rPr>
              <w:t>Spending - Other:</w:t>
            </w:r>
            <w:r w:rsidRPr="00EE1BDA">
              <w:rPr>
                <w:rFonts w:ascii="Calibri" w:eastAsia="Times New Roman" w:hAnsi="Calibri" w:cs="Times New Roman"/>
                <w:b/>
                <w:bCs/>
                <w:color w:val="000000"/>
                <w:sz w:val="22"/>
              </w:rPr>
              <w:br/>
              <w:t xml:space="preserve"> </w:t>
            </w:r>
            <w:proofErr w:type="spellStart"/>
            <w:r w:rsidRPr="00EE1BDA">
              <w:rPr>
                <w:rFonts w:ascii="Calibri" w:eastAsia="Times New Roman" w:hAnsi="Calibri" w:cs="Times New Roman"/>
                <w:b/>
                <w:bCs/>
                <w:color w:val="000000"/>
                <w:sz w:val="22"/>
              </w:rPr>
              <w:t>u_t</w:t>
            </w:r>
            <w:proofErr w:type="spellEnd"/>
            <w:r w:rsidRPr="00EE1BDA">
              <w:rPr>
                <w:rFonts w:ascii="Calibri" w:eastAsia="Times New Roman" w:hAnsi="Calibri" w:cs="Times New Roman"/>
                <w:b/>
                <w:bCs/>
                <w:color w:val="000000"/>
                <w:sz w:val="22"/>
              </w:rPr>
              <w:t xml:space="preserve"> + </w:t>
            </w:r>
            <w:proofErr w:type="spellStart"/>
            <w:r w:rsidRPr="00EE1BDA">
              <w:rPr>
                <w:rFonts w:ascii="Calibri" w:eastAsia="Times New Roman" w:hAnsi="Calibri" w:cs="Times New Roman"/>
                <w:b/>
                <w:bCs/>
                <w:color w:val="000000"/>
                <w:sz w:val="22"/>
              </w:rPr>
              <w:t>a_t</w:t>
            </w:r>
            <w:proofErr w:type="spellEnd"/>
            <w:r w:rsidRPr="00EE1BDA">
              <w:rPr>
                <w:rFonts w:ascii="Calibri" w:eastAsia="Times New Roman" w:hAnsi="Calibri" w:cs="Times New Roman"/>
                <w:b/>
                <w:bCs/>
                <w:color w:val="000000"/>
                <w:sz w:val="22"/>
              </w:rPr>
              <w:t xml:space="preserve"> + … + a_t+5</w:t>
            </w:r>
          </w:p>
        </w:tc>
        <w:tc>
          <w:tcPr>
            <w:tcW w:w="2693" w:type="dxa"/>
            <w:tcBorders>
              <w:top w:val="nil"/>
              <w:left w:val="single" w:sz="4" w:space="0" w:color="auto"/>
              <w:bottom w:val="single" w:sz="4" w:space="0" w:color="auto"/>
              <w:right w:val="single" w:sz="4" w:space="0" w:color="auto"/>
            </w:tcBorders>
            <w:shd w:val="clear" w:color="000000" w:fill="E2EFDA"/>
            <w:noWrap/>
            <w:vAlign w:val="center"/>
            <w:hideMark/>
          </w:tcPr>
          <w:p w14:paraId="6ACEC8EF" w14:textId="77777777" w:rsidR="00EE1BDA" w:rsidRPr="00EE1BDA" w:rsidRDefault="00EE1BDA" w:rsidP="008B31A5">
            <w:pPr>
              <w:spacing w:after="0" w:line="240" w:lineRule="auto"/>
              <w:jc w:val="both"/>
              <w:rPr>
                <w:rFonts w:ascii="Calibri" w:eastAsia="Times New Roman" w:hAnsi="Calibri" w:cs="Times New Roman"/>
                <w:b/>
                <w:bCs/>
                <w:sz w:val="22"/>
              </w:rPr>
            </w:pPr>
            <w:r w:rsidRPr="00EE1BDA">
              <w:rPr>
                <w:rFonts w:ascii="Calibri" w:eastAsia="Times New Roman" w:hAnsi="Calibri" w:cs="Times New Roman"/>
                <w:b/>
                <w:bCs/>
                <w:sz w:val="22"/>
              </w:rPr>
              <w:t>Other Spend Tot</w:t>
            </w:r>
          </w:p>
        </w:tc>
        <w:tc>
          <w:tcPr>
            <w:tcW w:w="1417" w:type="dxa"/>
            <w:vMerge/>
            <w:tcBorders>
              <w:left w:val="single" w:sz="4" w:space="0" w:color="auto"/>
              <w:bottom w:val="single" w:sz="4" w:space="0" w:color="auto"/>
              <w:right w:val="single" w:sz="4" w:space="0" w:color="auto"/>
            </w:tcBorders>
            <w:shd w:val="clear" w:color="auto" w:fill="F5A687"/>
            <w:vAlign w:val="center"/>
          </w:tcPr>
          <w:p w14:paraId="19FF7BF4" w14:textId="77777777" w:rsidR="00EE1BDA" w:rsidRPr="00EE1BDA" w:rsidRDefault="00EE1BDA" w:rsidP="008B31A5">
            <w:pPr>
              <w:spacing w:after="0" w:line="240" w:lineRule="auto"/>
              <w:jc w:val="both"/>
              <w:rPr>
                <w:rFonts w:ascii="Calibri" w:eastAsia="Times New Roman" w:hAnsi="Calibri" w:cs="Times New Roman"/>
                <w:b/>
                <w:bCs/>
                <w:sz w:val="22"/>
              </w:rPr>
            </w:pPr>
          </w:p>
        </w:tc>
      </w:tr>
    </w:tbl>
    <w:p w14:paraId="17BD9FDA" w14:textId="77777777" w:rsidR="008B31A5" w:rsidRDefault="008B31A5" w:rsidP="008B31A5">
      <w:pPr>
        <w:pStyle w:val="Paragrafoelenco"/>
        <w:contextualSpacing w:val="0"/>
        <w:jc w:val="both"/>
      </w:pPr>
    </w:p>
    <w:p w14:paraId="60AA1C93" w14:textId="2EDBD3EC" w:rsidR="00EE1BDA" w:rsidRDefault="00EE1BDA" w:rsidP="008B31A5">
      <w:pPr>
        <w:pStyle w:val="Paragrafoelenco"/>
        <w:contextualSpacing w:val="0"/>
        <w:jc w:val="both"/>
      </w:pPr>
      <w:r>
        <w:t xml:space="preserve">The </w:t>
      </w:r>
      <w:r>
        <w:rPr>
          <w:i/>
        </w:rPr>
        <w:t xml:space="preserve">New Plan </w:t>
      </w:r>
      <w:r>
        <w:t>dummy is equal to one for years in which new exogenous fiscal measures were introduced.</w:t>
      </w:r>
      <w:r w:rsidR="005A3686">
        <w:t xml:space="preserve"> </w:t>
      </w:r>
      <w:r w:rsidR="005A3686">
        <w:rPr>
          <w:i/>
        </w:rPr>
        <w:t xml:space="preserve">Negative Consolidation </w:t>
      </w:r>
      <w:r w:rsidR="005A3686">
        <w:t xml:space="preserve">is </w:t>
      </w:r>
      <w:r w:rsidR="00AC39D0">
        <w:t>a</w:t>
      </w:r>
      <w:r w:rsidR="005A3686">
        <w:t xml:space="preserve"> dummy that is equal to one for years in which the total amount of exogenous consolidation measures was negative.</w:t>
      </w:r>
    </w:p>
    <w:p w14:paraId="79171DF2" w14:textId="77777777" w:rsidR="00E85832" w:rsidRDefault="00E85832" w:rsidP="008B31A5">
      <w:pPr>
        <w:pStyle w:val="Paragrafoelenco"/>
        <w:contextualSpacing w:val="0"/>
        <w:jc w:val="both"/>
      </w:pPr>
      <w:r>
        <w:t xml:space="preserve">The </w:t>
      </w:r>
      <w:r>
        <w:rPr>
          <w:i/>
        </w:rPr>
        <w:t xml:space="preserve">EB </w:t>
      </w:r>
      <w:r>
        <w:t xml:space="preserve">and </w:t>
      </w:r>
      <w:r>
        <w:rPr>
          <w:i/>
        </w:rPr>
        <w:t>TB</w:t>
      </w:r>
      <w:r>
        <w:t xml:space="preserve"> dummies denote whether the consolidation measures undertaken in a given year was </w:t>
      </w:r>
      <w:r>
        <w:rPr>
          <w:i/>
        </w:rPr>
        <w:t xml:space="preserve">Expenditure-based </w:t>
      </w:r>
      <w:r>
        <w:t xml:space="preserve">or </w:t>
      </w:r>
      <w:r>
        <w:rPr>
          <w:i/>
        </w:rPr>
        <w:t>Tax-based</w:t>
      </w:r>
      <w:r>
        <w:t xml:space="preserve">. For years of no consolidation measures both dummies are equal to zero. In case of non-zero consolidation years, the classification goes as follows: if a new plan was introduced in the given year, the prevalent component marks the plan (e.g. if Tax Tot &gt; Spending Tot, then TB = 1. Note that the plan classification is made with considerations of both contemporary and announced future measures); if a new plan was not introduced, the measure classification remains the same </w:t>
      </w:r>
      <w:r w:rsidR="009155DF">
        <w:t>(unless there were no measures planned for the year, in which case, as described above, both dummies would be zero).</w:t>
      </w:r>
    </w:p>
    <w:p w14:paraId="06E4D85C" w14:textId="77777777" w:rsidR="002F246D" w:rsidRDefault="002F246D" w:rsidP="008B31A5">
      <w:pPr>
        <w:pStyle w:val="Paragrafoelenco"/>
        <w:contextualSpacing w:val="0"/>
        <w:jc w:val="both"/>
      </w:pPr>
      <w:r>
        <w:t xml:space="preserve">The next </w:t>
      </w:r>
      <w:r w:rsidR="00657383">
        <w:t xml:space="preserve">set of dummies make a finer classification of years with non-zero </w:t>
      </w:r>
      <w:r w:rsidR="002851D9">
        <w:t xml:space="preserve">total </w:t>
      </w:r>
      <w:r w:rsidR="00657383">
        <w:t xml:space="preserve">consolidation, dividing such years among five categories: </w:t>
      </w:r>
      <w:r w:rsidR="00657383">
        <w:rPr>
          <w:b/>
        </w:rPr>
        <w:t xml:space="preserve">DB </w:t>
      </w:r>
      <w:r w:rsidR="00657383" w:rsidRPr="00657383">
        <w:t>(</w:t>
      </w:r>
      <w:r w:rsidR="00657383">
        <w:t>Direct tax based</w:t>
      </w:r>
      <w:r w:rsidR="00657383" w:rsidRPr="00657383">
        <w:t>)</w:t>
      </w:r>
      <w:r w:rsidR="00657383">
        <w:t xml:space="preserve">, </w:t>
      </w:r>
      <w:r w:rsidR="00657383" w:rsidRPr="00DD1B50">
        <w:rPr>
          <w:b/>
        </w:rPr>
        <w:t>IB</w:t>
      </w:r>
      <w:r w:rsidR="00657383">
        <w:t xml:space="preserve"> (Indirect tax based), </w:t>
      </w:r>
      <w:r w:rsidR="00DD1B50" w:rsidRPr="00DD1B50">
        <w:rPr>
          <w:b/>
        </w:rPr>
        <w:t>CB</w:t>
      </w:r>
      <w:r w:rsidR="00DD1B50">
        <w:t xml:space="preserve"> (Consumption and Investment spending based), </w:t>
      </w:r>
      <w:r w:rsidR="00DD1B50" w:rsidRPr="00DD1B50">
        <w:rPr>
          <w:b/>
        </w:rPr>
        <w:t>TRB</w:t>
      </w:r>
      <w:r w:rsidR="00DD1B50">
        <w:t xml:space="preserve"> (Transfer spending based) and </w:t>
      </w:r>
      <w:r w:rsidR="00DD1B50" w:rsidRPr="00DD1B50">
        <w:rPr>
          <w:b/>
        </w:rPr>
        <w:t>NYC</w:t>
      </w:r>
      <w:r w:rsidR="00DD1B50">
        <w:t xml:space="preserve"> (Not Yet Classified). </w:t>
      </w:r>
    </w:p>
    <w:p w14:paraId="144CF640" w14:textId="77777777" w:rsidR="007E2378" w:rsidRPr="005F2D2D" w:rsidRDefault="007E2378" w:rsidP="008B31A5">
      <w:pPr>
        <w:pStyle w:val="Paragrafoelenco"/>
        <w:contextualSpacing w:val="0"/>
        <w:jc w:val="both"/>
        <w:rPr>
          <w:sz w:val="32"/>
        </w:rPr>
      </w:pPr>
      <w:r w:rsidRPr="005F2D2D">
        <w:rPr>
          <w:b/>
          <w:sz w:val="32"/>
        </w:rPr>
        <w:t>Hierarchical Dummies</w:t>
      </w:r>
      <w:r w:rsidRPr="005F2D2D">
        <w:rPr>
          <w:sz w:val="32"/>
        </w:rPr>
        <w:t xml:space="preserve"> logic (for a given year):</w:t>
      </w:r>
    </w:p>
    <w:p w14:paraId="678FAAE6" w14:textId="77777777" w:rsidR="007E2378" w:rsidRDefault="007E2378" w:rsidP="008B31A5">
      <w:pPr>
        <w:pStyle w:val="Paragrafoelenco"/>
        <w:numPr>
          <w:ilvl w:val="0"/>
          <w:numId w:val="1"/>
        </w:numPr>
        <w:contextualSpacing w:val="0"/>
        <w:jc w:val="both"/>
      </w:pPr>
      <w:r>
        <w:t>If total measure amount is zero, then all the dummies are zero</w:t>
      </w:r>
    </w:p>
    <w:p w14:paraId="0D9C157F" w14:textId="77777777" w:rsidR="007E2378" w:rsidRDefault="007E2378" w:rsidP="008B31A5">
      <w:pPr>
        <w:pStyle w:val="Paragrafoelenco"/>
        <w:numPr>
          <w:ilvl w:val="0"/>
          <w:numId w:val="1"/>
        </w:numPr>
        <w:contextualSpacing w:val="0"/>
        <w:jc w:val="both"/>
      </w:pPr>
      <w:r>
        <w:t>If there was a new plan introduced and there was negative consolidation, then all the dummies are zero</w:t>
      </w:r>
    </w:p>
    <w:p w14:paraId="37F157BE" w14:textId="77777777" w:rsidR="007E2378" w:rsidRDefault="007E2378" w:rsidP="008B31A5">
      <w:pPr>
        <w:pStyle w:val="Paragrafoelenco"/>
        <w:numPr>
          <w:ilvl w:val="0"/>
          <w:numId w:val="1"/>
        </w:numPr>
        <w:contextualSpacing w:val="0"/>
        <w:jc w:val="both"/>
      </w:pPr>
      <w:r>
        <w:t>If the previous points are not effective and there was no new plan introduced, the dummy values are equal to the year before. If the previous points are not effective and there was a new plan introduced, one of the dummies will be non-zero, following the subsequent reasoning:</w:t>
      </w:r>
    </w:p>
    <w:p w14:paraId="40BFED1D" w14:textId="77777777" w:rsidR="007E2378" w:rsidRDefault="00941649" w:rsidP="008B31A5">
      <w:pPr>
        <w:pStyle w:val="Paragrafoelenco"/>
        <w:numPr>
          <w:ilvl w:val="1"/>
          <w:numId w:val="1"/>
        </w:numPr>
        <w:contextualSpacing w:val="0"/>
        <w:jc w:val="both"/>
      </w:pPr>
      <w:r>
        <w:t xml:space="preserve">If </w:t>
      </w:r>
      <w:r w:rsidRPr="00941649">
        <w:rPr>
          <w:b/>
        </w:rPr>
        <w:t>TB</w:t>
      </w:r>
      <w:r>
        <w:t xml:space="preserve"> = 1 and </w:t>
      </w:r>
      <w:r w:rsidR="007E2378" w:rsidRPr="00941649">
        <w:rPr>
          <w:b/>
        </w:rPr>
        <w:t>Direct Tax</w:t>
      </w:r>
      <w:r>
        <w:rPr>
          <w:b/>
        </w:rPr>
        <w:t xml:space="preserve"> Tot</w:t>
      </w:r>
      <w:r w:rsidR="007E2378">
        <w:t xml:space="preserve"> </w:t>
      </w:r>
      <w:r w:rsidR="007E2378">
        <w:rPr>
          <w:rFonts w:cs="Times New Roman"/>
        </w:rPr>
        <w:t>≥</w:t>
      </w:r>
      <w:r w:rsidR="007E2378">
        <w:t xml:space="preserve"> </w:t>
      </w:r>
      <w:r w:rsidR="007E2378" w:rsidRPr="00941649">
        <w:rPr>
          <w:b/>
        </w:rPr>
        <w:t>Indirect Tax</w:t>
      </w:r>
      <w:r>
        <w:rPr>
          <w:b/>
        </w:rPr>
        <w:t xml:space="preserve"> Tot</w:t>
      </w:r>
      <w:r w:rsidR="007E2378">
        <w:t xml:space="preserve"> + abs(</w:t>
      </w:r>
      <w:r w:rsidR="007E2378" w:rsidRPr="00941649">
        <w:rPr>
          <w:b/>
        </w:rPr>
        <w:t>NYC Tax</w:t>
      </w:r>
      <w:r>
        <w:rPr>
          <w:b/>
        </w:rPr>
        <w:t xml:space="preserve"> Tot</w:t>
      </w:r>
      <w:r w:rsidR="007E2378">
        <w:t>)</w:t>
      </w:r>
      <w:r>
        <w:t>,</w:t>
      </w:r>
      <w:r w:rsidR="007E2378">
        <w:t xml:space="preserve"> </w:t>
      </w:r>
      <w:r>
        <w:t xml:space="preserve">then </w:t>
      </w:r>
      <w:r w:rsidRPr="00941649">
        <w:rPr>
          <w:b/>
        </w:rPr>
        <w:t>DB</w:t>
      </w:r>
      <w:r>
        <w:t xml:space="preserve"> = 1</w:t>
      </w:r>
    </w:p>
    <w:p w14:paraId="1DF84A41" w14:textId="77777777" w:rsidR="00941649" w:rsidRDefault="00941649" w:rsidP="008B31A5">
      <w:pPr>
        <w:pStyle w:val="Paragrafoelenco"/>
        <w:numPr>
          <w:ilvl w:val="1"/>
          <w:numId w:val="1"/>
        </w:numPr>
        <w:contextualSpacing w:val="0"/>
        <w:jc w:val="both"/>
      </w:pPr>
      <w:r>
        <w:t xml:space="preserve">If </w:t>
      </w:r>
      <w:r w:rsidRPr="00941649">
        <w:rPr>
          <w:b/>
        </w:rPr>
        <w:t>TB</w:t>
      </w:r>
      <w:r>
        <w:t xml:space="preserve"> = 1 and </w:t>
      </w:r>
      <w:r>
        <w:rPr>
          <w:b/>
        </w:rPr>
        <w:t>Ind</w:t>
      </w:r>
      <w:r w:rsidRPr="00941649">
        <w:rPr>
          <w:b/>
        </w:rPr>
        <w:t>irect Tax</w:t>
      </w:r>
      <w:r>
        <w:rPr>
          <w:b/>
        </w:rPr>
        <w:t xml:space="preserve"> Tot</w:t>
      </w:r>
      <w:r>
        <w:t xml:space="preserve"> </w:t>
      </w:r>
      <w:r>
        <w:rPr>
          <w:rFonts w:cs="Times New Roman"/>
        </w:rPr>
        <w:t>≥</w:t>
      </w:r>
      <w:r>
        <w:t xml:space="preserve"> </w:t>
      </w:r>
      <w:r>
        <w:rPr>
          <w:b/>
        </w:rPr>
        <w:t>D</w:t>
      </w:r>
      <w:r w:rsidRPr="00941649">
        <w:rPr>
          <w:b/>
        </w:rPr>
        <w:t>irect Tax</w:t>
      </w:r>
      <w:r>
        <w:rPr>
          <w:b/>
        </w:rPr>
        <w:t xml:space="preserve"> Tot</w:t>
      </w:r>
      <w:r>
        <w:t xml:space="preserve"> + abs(</w:t>
      </w:r>
      <w:r w:rsidRPr="00941649">
        <w:rPr>
          <w:b/>
        </w:rPr>
        <w:t>NYC Tax</w:t>
      </w:r>
      <w:r>
        <w:rPr>
          <w:b/>
        </w:rPr>
        <w:t xml:space="preserve"> Tot</w:t>
      </w:r>
      <w:r>
        <w:t xml:space="preserve">), then </w:t>
      </w:r>
      <w:r>
        <w:rPr>
          <w:b/>
        </w:rPr>
        <w:t>I</w:t>
      </w:r>
      <w:r w:rsidRPr="00941649">
        <w:rPr>
          <w:b/>
        </w:rPr>
        <w:t>B</w:t>
      </w:r>
      <w:r>
        <w:t xml:space="preserve"> = 1</w:t>
      </w:r>
    </w:p>
    <w:p w14:paraId="5945557C" w14:textId="77777777" w:rsidR="00941649" w:rsidRDefault="00941649" w:rsidP="008B31A5">
      <w:pPr>
        <w:pStyle w:val="Paragrafoelenco"/>
        <w:numPr>
          <w:ilvl w:val="1"/>
          <w:numId w:val="1"/>
        </w:numPr>
        <w:contextualSpacing w:val="0"/>
        <w:jc w:val="both"/>
      </w:pPr>
      <w:r>
        <w:t xml:space="preserve">If </w:t>
      </w:r>
      <w:r w:rsidRPr="00941649">
        <w:rPr>
          <w:b/>
        </w:rPr>
        <w:t>EB</w:t>
      </w:r>
      <w:r>
        <w:t xml:space="preserve"> = 1 and </w:t>
      </w:r>
      <w:r w:rsidRPr="00941649">
        <w:rPr>
          <w:b/>
        </w:rPr>
        <w:t>Cons-Inv Tot</w:t>
      </w:r>
      <w:r>
        <w:t xml:space="preserve"> </w:t>
      </w:r>
      <w:r>
        <w:rPr>
          <w:rFonts w:cs="Times New Roman"/>
        </w:rPr>
        <w:t>≥</w:t>
      </w:r>
      <w:r>
        <w:t xml:space="preserve"> </w:t>
      </w:r>
      <w:r w:rsidRPr="00941649">
        <w:rPr>
          <w:b/>
        </w:rPr>
        <w:t>Transfers Tot</w:t>
      </w:r>
      <w:r>
        <w:t xml:space="preserve"> + abs(</w:t>
      </w:r>
      <w:r w:rsidRPr="00941649">
        <w:rPr>
          <w:b/>
        </w:rPr>
        <w:t>NYC Spend Tot</w:t>
      </w:r>
      <w:r>
        <w:t xml:space="preserve">), then </w:t>
      </w:r>
      <w:r w:rsidRPr="00941649">
        <w:rPr>
          <w:b/>
        </w:rPr>
        <w:t>CB</w:t>
      </w:r>
      <w:r>
        <w:t xml:space="preserve"> = 1</w:t>
      </w:r>
    </w:p>
    <w:p w14:paraId="53ED66E3" w14:textId="77777777" w:rsidR="00941649" w:rsidRDefault="00941649" w:rsidP="008B31A5">
      <w:pPr>
        <w:pStyle w:val="Paragrafoelenco"/>
        <w:numPr>
          <w:ilvl w:val="1"/>
          <w:numId w:val="1"/>
        </w:numPr>
        <w:contextualSpacing w:val="0"/>
        <w:jc w:val="both"/>
      </w:pPr>
      <w:r>
        <w:t xml:space="preserve">If </w:t>
      </w:r>
      <w:r w:rsidRPr="00941649">
        <w:rPr>
          <w:b/>
        </w:rPr>
        <w:t>EB</w:t>
      </w:r>
      <w:r>
        <w:t xml:space="preserve"> = 1 and </w:t>
      </w:r>
      <w:r>
        <w:rPr>
          <w:b/>
        </w:rPr>
        <w:t>Transfers Tot</w:t>
      </w:r>
      <w:r>
        <w:t xml:space="preserve"> </w:t>
      </w:r>
      <w:r>
        <w:rPr>
          <w:rFonts w:cs="Times New Roman"/>
        </w:rPr>
        <w:t>≥</w:t>
      </w:r>
      <w:r>
        <w:t xml:space="preserve"> </w:t>
      </w:r>
      <w:r w:rsidRPr="00941649">
        <w:rPr>
          <w:b/>
        </w:rPr>
        <w:t>Cons-Inv Tot</w:t>
      </w:r>
      <w:r>
        <w:t xml:space="preserve"> + abs(</w:t>
      </w:r>
      <w:r w:rsidRPr="00941649">
        <w:rPr>
          <w:b/>
        </w:rPr>
        <w:t>NYC Spend Tot</w:t>
      </w:r>
      <w:r>
        <w:t xml:space="preserve">), then </w:t>
      </w:r>
      <w:r w:rsidRPr="00941649">
        <w:rPr>
          <w:b/>
        </w:rPr>
        <w:t>TRB</w:t>
      </w:r>
      <w:r>
        <w:t xml:space="preserve"> = 1</w:t>
      </w:r>
    </w:p>
    <w:p w14:paraId="5591016F" w14:textId="77777777" w:rsidR="00941649" w:rsidRDefault="00941649" w:rsidP="008B31A5">
      <w:pPr>
        <w:pStyle w:val="Paragrafoelenco"/>
        <w:numPr>
          <w:ilvl w:val="1"/>
          <w:numId w:val="1"/>
        </w:numPr>
        <w:contextualSpacing w:val="0"/>
        <w:jc w:val="both"/>
      </w:pPr>
      <w:r>
        <w:t xml:space="preserve">If </w:t>
      </w:r>
      <w:r w:rsidRPr="00941649">
        <w:rPr>
          <w:b/>
        </w:rPr>
        <w:t>DB</w:t>
      </w:r>
      <w:r>
        <w:t xml:space="preserve"> = </w:t>
      </w:r>
      <w:r w:rsidRPr="00941649">
        <w:rPr>
          <w:b/>
        </w:rPr>
        <w:t>IB</w:t>
      </w:r>
      <w:r>
        <w:t xml:space="preserve"> = </w:t>
      </w:r>
      <w:r w:rsidRPr="00941649">
        <w:rPr>
          <w:b/>
        </w:rPr>
        <w:t>CB</w:t>
      </w:r>
      <w:r>
        <w:t xml:space="preserve"> = </w:t>
      </w:r>
      <w:r w:rsidRPr="00941649">
        <w:rPr>
          <w:b/>
        </w:rPr>
        <w:t>TRB</w:t>
      </w:r>
      <w:r>
        <w:t xml:space="preserve"> = 0, then </w:t>
      </w:r>
      <w:r w:rsidRPr="00941649">
        <w:rPr>
          <w:b/>
        </w:rPr>
        <w:t>NYC</w:t>
      </w:r>
      <w:r>
        <w:t xml:space="preserve"> = 1</w:t>
      </w:r>
    </w:p>
    <w:p w14:paraId="36F0D98A" w14:textId="77777777" w:rsidR="007E2378" w:rsidRPr="005F2D2D" w:rsidRDefault="00941649" w:rsidP="008B31A5">
      <w:pPr>
        <w:pStyle w:val="Paragrafoelenco"/>
        <w:contextualSpacing w:val="0"/>
        <w:jc w:val="both"/>
        <w:rPr>
          <w:sz w:val="32"/>
        </w:rPr>
      </w:pPr>
      <w:r w:rsidRPr="005F2D2D">
        <w:rPr>
          <w:b/>
          <w:sz w:val="32"/>
        </w:rPr>
        <w:t>Non-Hierarchical Dummies</w:t>
      </w:r>
      <w:r w:rsidRPr="005F2D2D">
        <w:rPr>
          <w:sz w:val="32"/>
        </w:rPr>
        <w:t xml:space="preserve"> logic:</w:t>
      </w:r>
    </w:p>
    <w:p w14:paraId="50D65148" w14:textId="77777777" w:rsidR="00941649" w:rsidRDefault="00941649" w:rsidP="008B31A5">
      <w:pPr>
        <w:pStyle w:val="Paragrafoelenco"/>
        <w:numPr>
          <w:ilvl w:val="0"/>
          <w:numId w:val="1"/>
        </w:numPr>
        <w:contextualSpacing w:val="0"/>
        <w:jc w:val="both"/>
      </w:pPr>
      <w:r>
        <w:t>If total measure amount is zero, then all the dummies are zero</w:t>
      </w:r>
    </w:p>
    <w:p w14:paraId="48F9224E" w14:textId="77777777" w:rsidR="00941649" w:rsidRDefault="00941649" w:rsidP="008B31A5">
      <w:pPr>
        <w:pStyle w:val="Paragrafoelenco"/>
        <w:numPr>
          <w:ilvl w:val="0"/>
          <w:numId w:val="1"/>
        </w:numPr>
        <w:contextualSpacing w:val="0"/>
        <w:jc w:val="both"/>
      </w:pPr>
      <w:r>
        <w:lastRenderedPageBreak/>
        <w:t>If there was a new plan introduced and there was negative consolidation, then all the dummies are zero</w:t>
      </w:r>
    </w:p>
    <w:p w14:paraId="18A5DA70" w14:textId="77777777" w:rsidR="00941649" w:rsidRDefault="00941649" w:rsidP="008B31A5">
      <w:pPr>
        <w:pStyle w:val="Paragrafoelenco"/>
        <w:numPr>
          <w:ilvl w:val="0"/>
          <w:numId w:val="1"/>
        </w:numPr>
        <w:contextualSpacing w:val="0"/>
        <w:jc w:val="both"/>
      </w:pPr>
      <w:r>
        <w:t>If the previous points are not effective and there was no new plan introduced, the dummy values are equal to the year before. If the previous points are not effective and there was a new plan introduced, one of the dummies will be non-zero, following the subsequent reasoning:</w:t>
      </w:r>
    </w:p>
    <w:p w14:paraId="2DB9B4D5" w14:textId="77777777" w:rsidR="00485A29" w:rsidRDefault="00485A29" w:rsidP="008B31A5">
      <w:pPr>
        <w:pStyle w:val="Paragrafoelenco"/>
        <w:numPr>
          <w:ilvl w:val="1"/>
          <w:numId w:val="1"/>
        </w:numPr>
        <w:contextualSpacing w:val="0"/>
        <w:jc w:val="both"/>
      </w:pPr>
      <w:r>
        <w:t xml:space="preserve">If </w:t>
      </w:r>
      <w:r w:rsidRPr="00941649">
        <w:rPr>
          <w:b/>
        </w:rPr>
        <w:t>Direct Tax</w:t>
      </w:r>
      <w:r>
        <w:rPr>
          <w:b/>
        </w:rPr>
        <w:t xml:space="preserve"> Tot</w:t>
      </w:r>
      <w:r>
        <w:t xml:space="preserve"> </w:t>
      </w:r>
      <w:r>
        <w:rPr>
          <w:rFonts w:cs="Times New Roman"/>
        </w:rPr>
        <w:t>≥</w:t>
      </w:r>
      <w:r>
        <w:t xml:space="preserve"> </w:t>
      </w:r>
      <w:r w:rsidR="005F2D2D">
        <w:rPr>
          <w:b/>
        </w:rPr>
        <w:t>X1</w:t>
      </w:r>
      <w:r>
        <w:rPr>
          <w:rStyle w:val="Rimandonotaapidipagina"/>
          <w:b/>
        </w:rPr>
        <w:footnoteReference w:id="2"/>
      </w:r>
      <w:r>
        <w:t xml:space="preserve">, then </w:t>
      </w:r>
      <w:r w:rsidRPr="00941649">
        <w:rPr>
          <w:b/>
        </w:rPr>
        <w:t>DB</w:t>
      </w:r>
      <w:r>
        <w:t xml:space="preserve"> = 1</w:t>
      </w:r>
    </w:p>
    <w:p w14:paraId="485B276B" w14:textId="77777777" w:rsidR="00485A29" w:rsidRDefault="00485A29" w:rsidP="008B31A5">
      <w:pPr>
        <w:pStyle w:val="Paragrafoelenco"/>
        <w:numPr>
          <w:ilvl w:val="1"/>
          <w:numId w:val="1"/>
        </w:numPr>
        <w:contextualSpacing w:val="0"/>
        <w:jc w:val="both"/>
      </w:pPr>
      <w:r>
        <w:t xml:space="preserve">If </w:t>
      </w:r>
      <w:r>
        <w:rPr>
          <w:b/>
        </w:rPr>
        <w:t>Ind</w:t>
      </w:r>
      <w:r w:rsidRPr="00941649">
        <w:rPr>
          <w:b/>
        </w:rPr>
        <w:t>irect Tax</w:t>
      </w:r>
      <w:r>
        <w:rPr>
          <w:b/>
        </w:rPr>
        <w:t xml:space="preserve"> Tot</w:t>
      </w:r>
      <w:r>
        <w:t xml:space="preserve"> </w:t>
      </w:r>
      <w:r>
        <w:rPr>
          <w:rFonts w:cs="Times New Roman"/>
        </w:rPr>
        <w:t>≥</w:t>
      </w:r>
      <w:r>
        <w:t xml:space="preserve"> </w:t>
      </w:r>
      <w:r>
        <w:rPr>
          <w:b/>
        </w:rPr>
        <w:t>X</w:t>
      </w:r>
      <w:r w:rsidR="005F2D2D">
        <w:rPr>
          <w:b/>
        </w:rPr>
        <w:t>2</w:t>
      </w:r>
      <w:r w:rsidR="005F2D2D">
        <w:rPr>
          <w:rStyle w:val="Rimandonotaapidipagina"/>
          <w:b/>
        </w:rPr>
        <w:footnoteReference w:id="3"/>
      </w:r>
      <w:r>
        <w:t xml:space="preserve">, then </w:t>
      </w:r>
      <w:r>
        <w:rPr>
          <w:b/>
        </w:rPr>
        <w:t>I</w:t>
      </w:r>
      <w:r w:rsidRPr="00941649">
        <w:rPr>
          <w:b/>
        </w:rPr>
        <w:t>B</w:t>
      </w:r>
      <w:r>
        <w:t xml:space="preserve"> = 1</w:t>
      </w:r>
    </w:p>
    <w:p w14:paraId="6C041E1E" w14:textId="77777777" w:rsidR="00485A29" w:rsidRDefault="00485A29" w:rsidP="008B31A5">
      <w:pPr>
        <w:pStyle w:val="Paragrafoelenco"/>
        <w:numPr>
          <w:ilvl w:val="1"/>
          <w:numId w:val="1"/>
        </w:numPr>
        <w:contextualSpacing w:val="0"/>
        <w:jc w:val="both"/>
      </w:pPr>
      <w:r>
        <w:t xml:space="preserve">If </w:t>
      </w:r>
      <w:r w:rsidRPr="00941649">
        <w:rPr>
          <w:b/>
        </w:rPr>
        <w:t>Cons-Inv Tot</w:t>
      </w:r>
      <w:r>
        <w:t xml:space="preserve"> </w:t>
      </w:r>
      <w:r>
        <w:rPr>
          <w:rFonts w:cs="Times New Roman"/>
        </w:rPr>
        <w:t>≥</w:t>
      </w:r>
      <w:r>
        <w:t xml:space="preserve"> </w:t>
      </w:r>
      <w:r w:rsidR="005F2D2D" w:rsidRPr="005F2D2D">
        <w:rPr>
          <w:b/>
        </w:rPr>
        <w:t>X3</w:t>
      </w:r>
      <w:r w:rsidR="005F2D2D">
        <w:rPr>
          <w:rStyle w:val="Rimandonotaapidipagina"/>
          <w:b/>
        </w:rPr>
        <w:footnoteReference w:id="4"/>
      </w:r>
      <w:r>
        <w:t xml:space="preserve">, then </w:t>
      </w:r>
      <w:r w:rsidRPr="00941649">
        <w:rPr>
          <w:b/>
        </w:rPr>
        <w:t>CB</w:t>
      </w:r>
      <w:r>
        <w:t xml:space="preserve"> = 1</w:t>
      </w:r>
    </w:p>
    <w:p w14:paraId="75045477" w14:textId="77777777" w:rsidR="00485A29" w:rsidRDefault="00485A29" w:rsidP="008B31A5">
      <w:pPr>
        <w:pStyle w:val="Paragrafoelenco"/>
        <w:numPr>
          <w:ilvl w:val="1"/>
          <w:numId w:val="1"/>
        </w:numPr>
        <w:contextualSpacing w:val="0"/>
        <w:jc w:val="both"/>
      </w:pPr>
      <w:r>
        <w:t xml:space="preserve">If </w:t>
      </w:r>
      <w:r>
        <w:rPr>
          <w:b/>
        </w:rPr>
        <w:t>Transfers Tot</w:t>
      </w:r>
      <w:r>
        <w:t xml:space="preserve"> </w:t>
      </w:r>
      <w:r>
        <w:rPr>
          <w:rFonts w:cs="Times New Roman"/>
        </w:rPr>
        <w:t>≥</w:t>
      </w:r>
      <w:r>
        <w:t xml:space="preserve"> </w:t>
      </w:r>
      <w:r w:rsidR="005F2D2D">
        <w:rPr>
          <w:b/>
        </w:rPr>
        <w:t>X4</w:t>
      </w:r>
      <w:r w:rsidR="005F2D2D">
        <w:rPr>
          <w:rStyle w:val="Rimandonotaapidipagina"/>
          <w:b/>
        </w:rPr>
        <w:footnoteReference w:id="5"/>
      </w:r>
      <w:r>
        <w:t xml:space="preserve">, then </w:t>
      </w:r>
      <w:r w:rsidRPr="00941649">
        <w:rPr>
          <w:b/>
        </w:rPr>
        <w:t>TRB</w:t>
      </w:r>
      <w:r>
        <w:t xml:space="preserve"> = 1</w:t>
      </w:r>
    </w:p>
    <w:p w14:paraId="422944E7" w14:textId="77777777" w:rsidR="00485A29" w:rsidRDefault="00485A29" w:rsidP="008B31A5">
      <w:pPr>
        <w:pStyle w:val="Paragrafoelenco"/>
        <w:numPr>
          <w:ilvl w:val="1"/>
          <w:numId w:val="1"/>
        </w:numPr>
        <w:contextualSpacing w:val="0"/>
        <w:jc w:val="both"/>
      </w:pPr>
      <w:r>
        <w:t xml:space="preserve">If </w:t>
      </w:r>
      <w:r w:rsidRPr="00941649">
        <w:rPr>
          <w:b/>
        </w:rPr>
        <w:t>DB</w:t>
      </w:r>
      <w:r>
        <w:t xml:space="preserve"> = </w:t>
      </w:r>
      <w:r w:rsidRPr="00941649">
        <w:rPr>
          <w:b/>
        </w:rPr>
        <w:t>IB</w:t>
      </w:r>
      <w:r>
        <w:t xml:space="preserve"> = </w:t>
      </w:r>
      <w:r w:rsidRPr="00941649">
        <w:rPr>
          <w:b/>
        </w:rPr>
        <w:t>CB</w:t>
      </w:r>
      <w:r>
        <w:t xml:space="preserve"> = </w:t>
      </w:r>
      <w:r w:rsidRPr="00941649">
        <w:rPr>
          <w:b/>
        </w:rPr>
        <w:t>TRB</w:t>
      </w:r>
      <w:r>
        <w:t xml:space="preserve"> = 0, then </w:t>
      </w:r>
      <w:r w:rsidRPr="00941649">
        <w:rPr>
          <w:b/>
        </w:rPr>
        <w:t>NYC</w:t>
      </w:r>
      <w:r>
        <w:t xml:space="preserve"> = 1</w:t>
      </w:r>
    </w:p>
    <w:p w14:paraId="44452C82" w14:textId="77777777" w:rsidR="00DD1B50" w:rsidRPr="002851D9" w:rsidRDefault="00DD1B50" w:rsidP="008B31A5">
      <w:pPr>
        <w:pStyle w:val="Paragrafoelenco"/>
        <w:contextualSpacing w:val="0"/>
        <w:jc w:val="both"/>
      </w:pPr>
      <w:r>
        <w:t xml:space="preserve">The </w:t>
      </w:r>
      <w:r w:rsidRPr="00DD1B50">
        <w:rPr>
          <w:i/>
        </w:rPr>
        <w:t>3-Components Dummies</w:t>
      </w:r>
      <w:r>
        <w:rPr>
          <w:i/>
        </w:rPr>
        <w:t xml:space="preserve"> </w:t>
      </w:r>
      <w:r>
        <w:t xml:space="preserve">dummy group classifies the </w:t>
      </w:r>
      <w:r w:rsidR="002851D9">
        <w:t xml:space="preserve">years on non-zero total consolidation in one of the four groups: </w:t>
      </w:r>
      <w:r w:rsidR="002851D9">
        <w:rPr>
          <w:b/>
        </w:rPr>
        <w:t xml:space="preserve">TB </w:t>
      </w:r>
      <w:r w:rsidR="002851D9">
        <w:t xml:space="preserve">(Tax based), </w:t>
      </w:r>
      <w:r w:rsidR="002851D9">
        <w:rPr>
          <w:b/>
        </w:rPr>
        <w:t xml:space="preserve">CB </w:t>
      </w:r>
      <w:r w:rsidR="002851D9">
        <w:t xml:space="preserve">(Consumption and Investment based), </w:t>
      </w:r>
      <w:r w:rsidR="002851D9">
        <w:rPr>
          <w:b/>
        </w:rPr>
        <w:t>TRB</w:t>
      </w:r>
      <w:r w:rsidR="002851D9">
        <w:t xml:space="preserve"> (Transfer based) and </w:t>
      </w:r>
      <w:r w:rsidR="002851D9">
        <w:rPr>
          <w:b/>
        </w:rPr>
        <w:t xml:space="preserve">NYC </w:t>
      </w:r>
      <w:r w:rsidR="002851D9">
        <w:t>(Not Yet Classified).</w:t>
      </w:r>
    </w:p>
    <w:p w14:paraId="2CC941DB" w14:textId="77777777" w:rsidR="009155DF" w:rsidRDefault="005F2D2D" w:rsidP="008B31A5">
      <w:pPr>
        <w:pStyle w:val="Paragrafoelenco"/>
        <w:contextualSpacing w:val="0"/>
        <w:jc w:val="both"/>
        <w:rPr>
          <w:sz w:val="32"/>
        </w:rPr>
      </w:pPr>
      <w:r>
        <w:rPr>
          <w:b/>
          <w:sz w:val="32"/>
        </w:rPr>
        <w:t>3-Components</w:t>
      </w:r>
      <w:r w:rsidRPr="005F2D2D">
        <w:rPr>
          <w:b/>
          <w:sz w:val="32"/>
        </w:rPr>
        <w:t xml:space="preserve"> Dummies</w:t>
      </w:r>
      <w:r w:rsidRPr="005F2D2D">
        <w:rPr>
          <w:sz w:val="32"/>
        </w:rPr>
        <w:t xml:space="preserve"> logic</w:t>
      </w:r>
      <w:r>
        <w:rPr>
          <w:sz w:val="32"/>
        </w:rPr>
        <w:t>:</w:t>
      </w:r>
    </w:p>
    <w:p w14:paraId="3FF0451A" w14:textId="77777777" w:rsidR="005F2D2D" w:rsidRDefault="005F2D2D" w:rsidP="008B31A5">
      <w:pPr>
        <w:pStyle w:val="Paragrafoelenco"/>
        <w:numPr>
          <w:ilvl w:val="0"/>
          <w:numId w:val="1"/>
        </w:numPr>
        <w:contextualSpacing w:val="0"/>
        <w:jc w:val="both"/>
      </w:pPr>
      <w:r>
        <w:t>If total measure amount is zero, then all the dummies are zero</w:t>
      </w:r>
    </w:p>
    <w:p w14:paraId="7F97C86A" w14:textId="77777777" w:rsidR="005F2D2D" w:rsidRDefault="005F2D2D" w:rsidP="008B31A5">
      <w:pPr>
        <w:pStyle w:val="Paragrafoelenco"/>
        <w:numPr>
          <w:ilvl w:val="0"/>
          <w:numId w:val="1"/>
        </w:numPr>
        <w:contextualSpacing w:val="0"/>
        <w:jc w:val="both"/>
      </w:pPr>
      <w:r>
        <w:t>If there was a new plan introduced and there was negative consolidation, then all the dummies are zero</w:t>
      </w:r>
    </w:p>
    <w:p w14:paraId="7CF07FC4" w14:textId="77777777" w:rsidR="005F2D2D" w:rsidRDefault="005F2D2D" w:rsidP="008B31A5">
      <w:pPr>
        <w:pStyle w:val="Paragrafoelenco"/>
        <w:numPr>
          <w:ilvl w:val="0"/>
          <w:numId w:val="1"/>
        </w:numPr>
        <w:contextualSpacing w:val="0"/>
        <w:jc w:val="both"/>
      </w:pPr>
      <w:r>
        <w:t>If the previous points are not effective and there was no new plan introduced, the dummy values are equal to the year before. If the previous points are not effective and there was a new plan introduced, one of the dummies will be non-zero, following the subsequent reasoning:</w:t>
      </w:r>
    </w:p>
    <w:p w14:paraId="31628CBF" w14:textId="77777777" w:rsidR="005F2D2D" w:rsidRDefault="005F2D2D" w:rsidP="008B31A5">
      <w:pPr>
        <w:pStyle w:val="Paragrafoelenco"/>
        <w:numPr>
          <w:ilvl w:val="1"/>
          <w:numId w:val="1"/>
        </w:numPr>
        <w:contextualSpacing w:val="0"/>
        <w:jc w:val="both"/>
      </w:pPr>
      <w:r>
        <w:t xml:space="preserve">If </w:t>
      </w:r>
      <w:r w:rsidRPr="00941649">
        <w:rPr>
          <w:b/>
        </w:rPr>
        <w:t>Tax</w:t>
      </w:r>
      <w:r>
        <w:rPr>
          <w:b/>
        </w:rPr>
        <w:t xml:space="preserve"> Tot</w:t>
      </w:r>
      <w:r>
        <w:t xml:space="preserve"> </w:t>
      </w:r>
      <w:r>
        <w:rPr>
          <w:rFonts w:cs="Times New Roman"/>
        </w:rPr>
        <w:t>≥</w:t>
      </w:r>
      <w:r>
        <w:t xml:space="preserve"> </w:t>
      </w:r>
      <w:r>
        <w:rPr>
          <w:b/>
        </w:rPr>
        <w:t>X</w:t>
      </w:r>
      <w:r w:rsidR="005E5208">
        <w:rPr>
          <w:b/>
        </w:rPr>
        <w:t>5</w:t>
      </w:r>
      <w:r>
        <w:rPr>
          <w:rStyle w:val="Rimandonotaapidipagina"/>
          <w:b/>
        </w:rPr>
        <w:footnoteReference w:id="6"/>
      </w:r>
      <w:r>
        <w:t xml:space="preserve">, then </w:t>
      </w:r>
      <w:r w:rsidR="005E5208">
        <w:rPr>
          <w:b/>
        </w:rPr>
        <w:t>T</w:t>
      </w:r>
      <w:r w:rsidRPr="00941649">
        <w:rPr>
          <w:b/>
        </w:rPr>
        <w:t>B</w:t>
      </w:r>
      <w:r>
        <w:t xml:space="preserve"> = 1</w:t>
      </w:r>
    </w:p>
    <w:p w14:paraId="2CBE4FAF" w14:textId="77777777" w:rsidR="005F2D2D" w:rsidRDefault="005F2D2D" w:rsidP="008B31A5">
      <w:pPr>
        <w:pStyle w:val="Paragrafoelenco"/>
        <w:numPr>
          <w:ilvl w:val="1"/>
          <w:numId w:val="1"/>
        </w:numPr>
        <w:contextualSpacing w:val="0"/>
        <w:jc w:val="both"/>
      </w:pPr>
      <w:r>
        <w:t xml:space="preserve">If </w:t>
      </w:r>
      <w:r w:rsidR="005E5208">
        <w:rPr>
          <w:b/>
        </w:rPr>
        <w:t>Cons-Inv Tot + NYC Spend Tot + ½ Other Spend Tot</w:t>
      </w:r>
      <w:r>
        <w:t xml:space="preserve"> </w:t>
      </w:r>
      <w:r>
        <w:rPr>
          <w:rFonts w:cs="Times New Roman"/>
        </w:rPr>
        <w:t>≥</w:t>
      </w:r>
      <w:r>
        <w:t xml:space="preserve"> </w:t>
      </w:r>
      <w:r>
        <w:rPr>
          <w:b/>
        </w:rPr>
        <w:t>X</w:t>
      </w:r>
      <w:r w:rsidR="005E5208">
        <w:rPr>
          <w:b/>
        </w:rPr>
        <w:t>6</w:t>
      </w:r>
      <w:r w:rsidR="005E5208">
        <w:rPr>
          <w:rStyle w:val="Rimandonotaapidipagina"/>
          <w:b/>
        </w:rPr>
        <w:footnoteReference w:id="7"/>
      </w:r>
      <w:r w:rsidR="005E5208">
        <w:rPr>
          <w:b/>
        </w:rPr>
        <w:t xml:space="preserve"> </w:t>
      </w:r>
      <w:r w:rsidR="005E5208" w:rsidRPr="005E5208">
        <w:t>and</w:t>
      </w:r>
      <w:r w:rsidR="005E5208">
        <w:rPr>
          <w:b/>
        </w:rPr>
        <w:t xml:space="preserve"> Cons-Inv Tot + ½ Other Spend Tot </w:t>
      </w:r>
      <w:r w:rsidR="005E5208">
        <w:rPr>
          <w:rFonts w:cs="Times New Roman"/>
          <w:b/>
        </w:rPr>
        <w:t>≥</w:t>
      </w:r>
      <w:r w:rsidR="005E5208">
        <w:rPr>
          <w:b/>
        </w:rPr>
        <w:t xml:space="preserve"> X7</w:t>
      </w:r>
      <w:r w:rsidR="00115C21">
        <w:rPr>
          <w:rStyle w:val="Rimandonotaapidipagina"/>
          <w:b/>
        </w:rPr>
        <w:footnoteReference w:id="8"/>
      </w:r>
      <w:r>
        <w:t xml:space="preserve">, then </w:t>
      </w:r>
      <w:r w:rsidR="005E5208">
        <w:rPr>
          <w:b/>
        </w:rPr>
        <w:t>C</w:t>
      </w:r>
      <w:r w:rsidRPr="00941649">
        <w:rPr>
          <w:b/>
        </w:rPr>
        <w:t>B</w:t>
      </w:r>
      <w:r>
        <w:t xml:space="preserve"> = 1</w:t>
      </w:r>
    </w:p>
    <w:p w14:paraId="1C03AD51" w14:textId="77777777" w:rsidR="005F2D2D" w:rsidRDefault="005F2D2D" w:rsidP="008B31A5">
      <w:pPr>
        <w:pStyle w:val="Paragrafoelenco"/>
        <w:numPr>
          <w:ilvl w:val="1"/>
          <w:numId w:val="1"/>
        </w:numPr>
        <w:contextualSpacing w:val="0"/>
        <w:jc w:val="both"/>
      </w:pPr>
      <w:r>
        <w:lastRenderedPageBreak/>
        <w:t xml:space="preserve">If </w:t>
      </w:r>
      <w:r w:rsidR="005E5208">
        <w:rPr>
          <w:b/>
        </w:rPr>
        <w:t>Transfers</w:t>
      </w:r>
      <w:r w:rsidRPr="00941649">
        <w:rPr>
          <w:b/>
        </w:rPr>
        <w:t xml:space="preserve"> </w:t>
      </w:r>
      <w:r>
        <w:rPr>
          <w:b/>
        </w:rPr>
        <w:t>Tot</w:t>
      </w:r>
      <w:r>
        <w:t xml:space="preserve"> </w:t>
      </w:r>
      <w:r w:rsidR="00115C21">
        <w:rPr>
          <w:b/>
        </w:rPr>
        <w:t>+ NYC Spend Tot + ½ Other Spend Tot</w:t>
      </w:r>
      <w:r w:rsidR="00115C21">
        <w:t xml:space="preserve"> </w:t>
      </w:r>
      <w:r>
        <w:rPr>
          <w:rFonts w:cs="Times New Roman"/>
        </w:rPr>
        <w:t>≥</w:t>
      </w:r>
      <w:r>
        <w:t xml:space="preserve"> </w:t>
      </w:r>
      <w:r>
        <w:rPr>
          <w:b/>
        </w:rPr>
        <w:t>X</w:t>
      </w:r>
      <w:r w:rsidR="00115C21">
        <w:rPr>
          <w:b/>
        </w:rPr>
        <w:t>8</w:t>
      </w:r>
      <w:r w:rsidR="00115C21">
        <w:rPr>
          <w:rStyle w:val="Rimandonotaapidipagina"/>
          <w:b/>
        </w:rPr>
        <w:footnoteReference w:id="9"/>
      </w:r>
      <w:r w:rsidR="00115C21">
        <w:rPr>
          <w:b/>
        </w:rPr>
        <w:t xml:space="preserve"> </w:t>
      </w:r>
      <w:r w:rsidR="00115C21" w:rsidRPr="00115C21">
        <w:t>and</w:t>
      </w:r>
      <w:r w:rsidR="00115C21">
        <w:rPr>
          <w:b/>
        </w:rPr>
        <w:t xml:space="preserve"> Transfers Tot + ½ Other Spend Tot</w:t>
      </w:r>
      <w:r w:rsidR="00115C21">
        <w:t xml:space="preserve"> </w:t>
      </w:r>
      <w:r w:rsidR="00115C21">
        <w:rPr>
          <w:rFonts w:cs="Times New Roman"/>
        </w:rPr>
        <w:t>≥</w:t>
      </w:r>
      <w:r w:rsidR="00115C21">
        <w:t xml:space="preserve"> </w:t>
      </w:r>
      <w:r w:rsidR="00115C21">
        <w:rPr>
          <w:b/>
        </w:rPr>
        <w:t>X9</w:t>
      </w:r>
      <w:r w:rsidR="00115C21">
        <w:rPr>
          <w:rStyle w:val="Rimandonotaapidipagina"/>
          <w:b/>
        </w:rPr>
        <w:footnoteReference w:id="10"/>
      </w:r>
      <w:r>
        <w:t xml:space="preserve">, then </w:t>
      </w:r>
      <w:r w:rsidR="005E5208">
        <w:rPr>
          <w:b/>
        </w:rPr>
        <w:t>TR</w:t>
      </w:r>
      <w:r w:rsidRPr="00941649">
        <w:rPr>
          <w:b/>
        </w:rPr>
        <w:t>B</w:t>
      </w:r>
      <w:r>
        <w:t xml:space="preserve"> = 1</w:t>
      </w:r>
    </w:p>
    <w:p w14:paraId="541CAD81" w14:textId="77777777" w:rsidR="005E5208" w:rsidRDefault="005E5208" w:rsidP="008B31A5">
      <w:pPr>
        <w:pStyle w:val="Paragrafoelenco"/>
        <w:numPr>
          <w:ilvl w:val="1"/>
          <w:numId w:val="1"/>
        </w:numPr>
        <w:contextualSpacing w:val="0"/>
        <w:jc w:val="both"/>
      </w:pPr>
      <w:r>
        <w:t xml:space="preserve">If </w:t>
      </w:r>
      <w:r>
        <w:rPr>
          <w:b/>
        </w:rPr>
        <w:t>T</w:t>
      </w:r>
      <w:r w:rsidRPr="00941649">
        <w:rPr>
          <w:b/>
        </w:rPr>
        <w:t>B</w:t>
      </w:r>
      <w:r>
        <w:t xml:space="preserve"> = </w:t>
      </w:r>
      <w:r w:rsidRPr="00941649">
        <w:rPr>
          <w:b/>
        </w:rPr>
        <w:t>CB</w:t>
      </w:r>
      <w:r>
        <w:t xml:space="preserve"> = </w:t>
      </w:r>
      <w:r w:rsidRPr="00941649">
        <w:rPr>
          <w:b/>
        </w:rPr>
        <w:t>TRB</w:t>
      </w:r>
      <w:r>
        <w:t xml:space="preserve"> = 0, then </w:t>
      </w:r>
      <w:r w:rsidRPr="00941649">
        <w:rPr>
          <w:b/>
        </w:rPr>
        <w:t>NYC</w:t>
      </w:r>
      <w:r>
        <w:t xml:space="preserve"> = 1</w:t>
      </w:r>
    </w:p>
    <w:p w14:paraId="6B3906BA" w14:textId="77777777" w:rsidR="005F2D2D" w:rsidRPr="00E85832" w:rsidRDefault="005F2D2D" w:rsidP="008B31A5">
      <w:pPr>
        <w:pStyle w:val="Paragrafoelenco"/>
        <w:contextualSpacing w:val="0"/>
        <w:jc w:val="both"/>
      </w:pPr>
    </w:p>
    <w:p w14:paraId="05C3F7BF" w14:textId="77777777" w:rsidR="00EE1BDA" w:rsidRDefault="007F1B72" w:rsidP="008B31A5">
      <w:pPr>
        <w:pStyle w:val="Paragrafoelenco"/>
        <w:contextualSpacing w:val="0"/>
        <w:jc w:val="both"/>
      </w:pPr>
      <w:r>
        <w:t xml:space="preserve">The </w:t>
      </w:r>
      <w:r>
        <w:rPr>
          <w:i/>
        </w:rPr>
        <w:t>Share of components over total plan</w:t>
      </w:r>
      <w:r>
        <w:t xml:space="preserve"> shows the shares of different classified components of the consolidation measures (for years of non-zero total consolidation). </w:t>
      </w:r>
    </w:p>
    <w:p w14:paraId="64987EBE" w14:textId="679736BD" w:rsidR="001D7664" w:rsidRPr="00D9374F" w:rsidRDefault="007F1B72" w:rsidP="009901F2">
      <w:pPr>
        <w:pStyle w:val="Paragrafoelenco"/>
        <w:contextualSpacing w:val="0"/>
        <w:jc w:val="both"/>
      </w:pPr>
      <w:r>
        <w:t xml:space="preserve">The last set of columns </w:t>
      </w:r>
      <w:r w:rsidR="00F913C1">
        <w:t xml:space="preserve">describes the times when the shares of components (from the previous column) do not surpass an empirically set threshold (set to 25%), which would mean that there is presence of a relatively large amount of </w:t>
      </w:r>
      <w:r w:rsidR="00F913C1">
        <w:rPr>
          <w:i/>
        </w:rPr>
        <w:t>Not Yet Classified</w:t>
      </w:r>
      <w:r w:rsidR="00F913C1">
        <w:t xml:space="preserve"> and </w:t>
      </w:r>
      <w:r w:rsidR="00F913C1">
        <w:rPr>
          <w:i/>
        </w:rPr>
        <w:t>Other</w:t>
      </w:r>
      <w:r w:rsidR="00F913C1">
        <w:t xml:space="preserve"> measures. Nearby one can see a short summary table which counts the number of times when the empirical share threshold was not met.</w:t>
      </w:r>
    </w:p>
    <w:p w14:paraId="49433110" w14:textId="77777777" w:rsidR="0098701B" w:rsidRPr="0098701B" w:rsidRDefault="0098701B" w:rsidP="008B31A5">
      <w:pPr>
        <w:pStyle w:val="Paragrafoelenco"/>
        <w:contextualSpacing w:val="0"/>
        <w:jc w:val="both"/>
      </w:pPr>
    </w:p>
    <w:p w14:paraId="31BE1E30" w14:textId="77777777" w:rsidR="005C50A8" w:rsidRPr="0045313D" w:rsidRDefault="005C50A8" w:rsidP="008B31A5">
      <w:pPr>
        <w:pStyle w:val="Paragrafoelenco"/>
        <w:numPr>
          <w:ilvl w:val="0"/>
          <w:numId w:val="1"/>
        </w:numPr>
        <w:jc w:val="both"/>
        <w:rPr>
          <w:b/>
          <w:sz w:val="32"/>
        </w:rPr>
      </w:pPr>
      <w:proofErr w:type="spellStart"/>
      <w:r>
        <w:rPr>
          <w:b/>
          <w:sz w:val="32"/>
        </w:rPr>
        <w:t>MacroData</w:t>
      </w:r>
      <w:proofErr w:type="spellEnd"/>
    </w:p>
    <w:p w14:paraId="6598D613" w14:textId="77777777" w:rsidR="005C50A8" w:rsidRDefault="005C50A8" w:rsidP="008B31A5">
      <w:pPr>
        <w:pStyle w:val="Paragrafoelenco"/>
        <w:contextualSpacing w:val="0"/>
        <w:jc w:val="both"/>
      </w:pPr>
      <w:r>
        <w:t>Here is the list of macro variables in the database.</w:t>
      </w:r>
    </w:p>
    <w:tbl>
      <w:tblPr>
        <w:tblW w:w="9790" w:type="dxa"/>
        <w:jc w:val="center"/>
        <w:tblLook w:val="04A0" w:firstRow="1" w:lastRow="0" w:firstColumn="1" w:lastColumn="0" w:noHBand="0" w:noVBand="1"/>
      </w:tblPr>
      <w:tblGrid>
        <w:gridCol w:w="2136"/>
        <w:gridCol w:w="7654"/>
      </w:tblGrid>
      <w:tr w:rsidR="0000770B" w:rsidRPr="006F1304" w14:paraId="52F8B062" w14:textId="77777777" w:rsidTr="00E35B05">
        <w:trPr>
          <w:trHeight w:val="300"/>
          <w:jc w:val="center"/>
        </w:trPr>
        <w:tc>
          <w:tcPr>
            <w:tcW w:w="2136" w:type="dxa"/>
            <w:shd w:val="clear" w:color="auto" w:fill="auto"/>
            <w:noWrap/>
            <w:vAlign w:val="center"/>
            <w:hideMark/>
          </w:tcPr>
          <w:p w14:paraId="33599169" w14:textId="77777777" w:rsidR="0000770B" w:rsidRPr="006F1304" w:rsidRDefault="0000770B" w:rsidP="008B31A5">
            <w:pPr>
              <w:jc w:val="both"/>
              <w:rPr>
                <w:b/>
              </w:rPr>
            </w:pPr>
            <w:proofErr w:type="spellStart"/>
            <w:r w:rsidRPr="006F1304">
              <w:rPr>
                <w:b/>
              </w:rPr>
              <w:t>GDP_scale</w:t>
            </w:r>
            <w:proofErr w:type="spellEnd"/>
          </w:p>
        </w:tc>
        <w:tc>
          <w:tcPr>
            <w:tcW w:w="7654" w:type="dxa"/>
            <w:shd w:val="clear" w:color="auto" w:fill="auto"/>
            <w:noWrap/>
            <w:vAlign w:val="center"/>
            <w:hideMark/>
          </w:tcPr>
          <w:p w14:paraId="0E2C4250" w14:textId="77777777" w:rsidR="0000770B" w:rsidRPr="006F1304" w:rsidRDefault="0000770B" w:rsidP="008B31A5">
            <w:pPr>
              <w:jc w:val="both"/>
            </w:pPr>
            <w:r w:rsidRPr="006F1304">
              <w:br/>
              <w:t>It is a transformation of GDP. For euro area countries GDP was converted in local currency before 2002. For all the countries GDP was rescaled in billions.</w:t>
            </w:r>
          </w:p>
        </w:tc>
      </w:tr>
      <w:tr w:rsidR="0000770B" w:rsidRPr="006F1304" w14:paraId="4342D01D" w14:textId="77777777" w:rsidTr="00E35B05">
        <w:trPr>
          <w:trHeight w:val="300"/>
          <w:jc w:val="center"/>
        </w:trPr>
        <w:tc>
          <w:tcPr>
            <w:tcW w:w="2136" w:type="dxa"/>
            <w:shd w:val="clear" w:color="auto" w:fill="auto"/>
            <w:noWrap/>
            <w:vAlign w:val="center"/>
            <w:hideMark/>
          </w:tcPr>
          <w:p w14:paraId="299377B8" w14:textId="77777777" w:rsidR="0000770B" w:rsidRPr="006F1304" w:rsidRDefault="0000770B" w:rsidP="008B31A5">
            <w:pPr>
              <w:jc w:val="both"/>
              <w:rPr>
                <w:b/>
              </w:rPr>
            </w:pPr>
            <w:proofErr w:type="spellStart"/>
            <w:r w:rsidRPr="006F1304">
              <w:rPr>
                <w:b/>
              </w:rPr>
              <w:t>esi_con</w:t>
            </w:r>
            <w:proofErr w:type="spellEnd"/>
          </w:p>
        </w:tc>
        <w:tc>
          <w:tcPr>
            <w:tcW w:w="7654" w:type="dxa"/>
            <w:shd w:val="clear" w:color="auto" w:fill="auto"/>
            <w:noWrap/>
            <w:vAlign w:val="center"/>
            <w:hideMark/>
          </w:tcPr>
          <w:p w14:paraId="196498B3" w14:textId="77777777" w:rsidR="0000770B" w:rsidRPr="006F1304" w:rsidRDefault="0000770B" w:rsidP="008B31A5">
            <w:pPr>
              <w:jc w:val="both"/>
            </w:pPr>
            <w:r w:rsidRPr="006F1304">
              <w:br/>
              <w:t xml:space="preserve">Consumer confidence indicator SADJ. Source: </w:t>
            </w:r>
            <w:proofErr w:type="spellStart"/>
            <w:r w:rsidRPr="006F1304">
              <w:t>Datastream</w:t>
            </w:r>
            <w:proofErr w:type="spellEnd"/>
            <w:r w:rsidRPr="006F1304">
              <w:t>. Code: *OCS005Q. Downloaded 12/05/2016</w:t>
            </w:r>
            <w:r>
              <w:t>.</w:t>
            </w:r>
          </w:p>
        </w:tc>
      </w:tr>
      <w:tr w:rsidR="0000770B" w:rsidRPr="006F1304" w14:paraId="62B05BC5" w14:textId="77777777" w:rsidTr="00E35B05">
        <w:trPr>
          <w:trHeight w:val="300"/>
          <w:jc w:val="center"/>
        </w:trPr>
        <w:tc>
          <w:tcPr>
            <w:tcW w:w="2136" w:type="dxa"/>
            <w:shd w:val="clear" w:color="auto" w:fill="auto"/>
            <w:noWrap/>
            <w:vAlign w:val="center"/>
            <w:hideMark/>
          </w:tcPr>
          <w:p w14:paraId="7536AE24" w14:textId="77777777" w:rsidR="0000770B" w:rsidRPr="006F1304" w:rsidRDefault="0000770B" w:rsidP="008B31A5">
            <w:pPr>
              <w:jc w:val="both"/>
              <w:rPr>
                <w:b/>
              </w:rPr>
            </w:pPr>
            <w:proofErr w:type="spellStart"/>
            <w:r w:rsidRPr="006F1304">
              <w:rPr>
                <w:b/>
              </w:rPr>
              <w:t>esi_ind</w:t>
            </w:r>
            <w:proofErr w:type="spellEnd"/>
          </w:p>
        </w:tc>
        <w:tc>
          <w:tcPr>
            <w:tcW w:w="7654" w:type="dxa"/>
            <w:shd w:val="clear" w:color="auto" w:fill="auto"/>
            <w:noWrap/>
            <w:vAlign w:val="center"/>
            <w:hideMark/>
          </w:tcPr>
          <w:p w14:paraId="4DC39177" w14:textId="77777777" w:rsidR="0000770B" w:rsidRPr="006F1304" w:rsidRDefault="0000770B" w:rsidP="008B31A5">
            <w:pPr>
              <w:jc w:val="both"/>
            </w:pPr>
            <w:r w:rsidRPr="006F1304">
              <w:br/>
              <w:t xml:space="preserve">Manufacturing industry confidence SADJ. Source: </w:t>
            </w:r>
            <w:proofErr w:type="spellStart"/>
            <w:r w:rsidRPr="006F1304">
              <w:t>Datastream</w:t>
            </w:r>
            <w:proofErr w:type="spellEnd"/>
            <w:r w:rsidRPr="006F1304">
              <w:t>. Code: *OBS085Q. Downloaded 12/05/2016</w:t>
            </w:r>
            <w:r>
              <w:t>.</w:t>
            </w:r>
          </w:p>
        </w:tc>
      </w:tr>
      <w:tr w:rsidR="0000770B" w:rsidRPr="006F1304" w14:paraId="3931D724" w14:textId="77777777" w:rsidTr="00E35B05">
        <w:trPr>
          <w:trHeight w:val="300"/>
          <w:jc w:val="center"/>
        </w:trPr>
        <w:tc>
          <w:tcPr>
            <w:tcW w:w="2136" w:type="dxa"/>
            <w:shd w:val="clear" w:color="auto" w:fill="auto"/>
            <w:noWrap/>
            <w:vAlign w:val="center"/>
            <w:hideMark/>
          </w:tcPr>
          <w:p w14:paraId="22BD70BB" w14:textId="77777777" w:rsidR="0000770B" w:rsidRPr="006F1304" w:rsidRDefault="0000770B" w:rsidP="008B31A5">
            <w:pPr>
              <w:jc w:val="both"/>
              <w:rPr>
                <w:b/>
              </w:rPr>
            </w:pPr>
            <w:proofErr w:type="spellStart"/>
            <w:r w:rsidRPr="006F1304">
              <w:rPr>
                <w:b/>
              </w:rPr>
              <w:t>ggfl</w:t>
            </w:r>
            <w:proofErr w:type="spellEnd"/>
          </w:p>
        </w:tc>
        <w:tc>
          <w:tcPr>
            <w:tcW w:w="7654" w:type="dxa"/>
            <w:shd w:val="clear" w:color="auto" w:fill="auto"/>
            <w:noWrap/>
            <w:vAlign w:val="center"/>
            <w:hideMark/>
          </w:tcPr>
          <w:p w14:paraId="589A7971" w14:textId="77777777" w:rsidR="0000770B" w:rsidRPr="006F1304" w:rsidRDefault="0000770B" w:rsidP="008B31A5">
            <w:pPr>
              <w:jc w:val="both"/>
            </w:pPr>
            <w:r w:rsidRPr="006F1304">
              <w:br/>
              <w:t>General government gross financial liabilities, value. Source: OECD Economic Outlook n. 97</w:t>
            </w:r>
            <w:r>
              <w:t>.</w:t>
            </w:r>
          </w:p>
        </w:tc>
      </w:tr>
      <w:tr w:rsidR="0000770B" w:rsidRPr="006F1304" w14:paraId="5AE1A562" w14:textId="77777777" w:rsidTr="00E35B05">
        <w:trPr>
          <w:trHeight w:val="300"/>
          <w:jc w:val="center"/>
        </w:trPr>
        <w:tc>
          <w:tcPr>
            <w:tcW w:w="2136" w:type="dxa"/>
            <w:shd w:val="clear" w:color="auto" w:fill="auto"/>
            <w:noWrap/>
            <w:vAlign w:val="center"/>
            <w:hideMark/>
          </w:tcPr>
          <w:p w14:paraId="481759EB" w14:textId="77777777" w:rsidR="0000770B" w:rsidRPr="006F1304" w:rsidRDefault="0000770B" w:rsidP="008B31A5">
            <w:pPr>
              <w:jc w:val="both"/>
              <w:rPr>
                <w:b/>
              </w:rPr>
            </w:pPr>
            <w:proofErr w:type="spellStart"/>
            <w:r w:rsidRPr="006F1304">
              <w:rPr>
                <w:b/>
              </w:rPr>
              <w:t>gdptr</w:t>
            </w:r>
            <w:proofErr w:type="spellEnd"/>
          </w:p>
        </w:tc>
        <w:tc>
          <w:tcPr>
            <w:tcW w:w="7654" w:type="dxa"/>
            <w:shd w:val="clear" w:color="auto" w:fill="auto"/>
            <w:noWrap/>
            <w:vAlign w:val="center"/>
            <w:hideMark/>
          </w:tcPr>
          <w:p w14:paraId="42E15E0B" w14:textId="77777777" w:rsidR="0000770B" w:rsidRPr="006F1304" w:rsidRDefault="0000770B" w:rsidP="008B31A5">
            <w:pPr>
              <w:jc w:val="both"/>
            </w:pPr>
            <w:r w:rsidRPr="006F1304">
              <w:br/>
              <w:t>Potential output of total economy, value. Source: OECD Economic Outlook n. 97</w:t>
            </w:r>
            <w:r>
              <w:t>.</w:t>
            </w:r>
          </w:p>
        </w:tc>
      </w:tr>
      <w:tr w:rsidR="0000770B" w:rsidRPr="006F1304" w14:paraId="09BCC791" w14:textId="77777777" w:rsidTr="00E35B05">
        <w:trPr>
          <w:trHeight w:val="300"/>
          <w:jc w:val="center"/>
        </w:trPr>
        <w:tc>
          <w:tcPr>
            <w:tcW w:w="2136" w:type="dxa"/>
            <w:shd w:val="clear" w:color="auto" w:fill="auto"/>
            <w:noWrap/>
            <w:vAlign w:val="center"/>
            <w:hideMark/>
          </w:tcPr>
          <w:p w14:paraId="1D929531" w14:textId="77777777" w:rsidR="0000770B" w:rsidRPr="006F1304" w:rsidRDefault="0000770B" w:rsidP="008B31A5">
            <w:pPr>
              <w:jc w:val="both"/>
              <w:rPr>
                <w:b/>
              </w:rPr>
            </w:pPr>
            <w:proofErr w:type="spellStart"/>
            <w:r w:rsidRPr="006F1304">
              <w:rPr>
                <w:b/>
              </w:rPr>
              <w:t>gdp</w:t>
            </w:r>
            <w:proofErr w:type="spellEnd"/>
          </w:p>
        </w:tc>
        <w:tc>
          <w:tcPr>
            <w:tcW w:w="7654" w:type="dxa"/>
            <w:shd w:val="clear" w:color="auto" w:fill="auto"/>
            <w:noWrap/>
            <w:vAlign w:val="center"/>
            <w:hideMark/>
          </w:tcPr>
          <w:p w14:paraId="1B72448E" w14:textId="77777777" w:rsidR="0000770B" w:rsidRPr="006F1304" w:rsidRDefault="0000770B" w:rsidP="008B31A5">
            <w:pPr>
              <w:jc w:val="both"/>
            </w:pPr>
            <w:r w:rsidRPr="006F1304">
              <w:br/>
              <w:t>Gross domestic product, value, market prices. Source for all except IRL: OECD Economic Outlook n. 97. Source for IRL: IMF WEO April 2015.</w:t>
            </w:r>
          </w:p>
        </w:tc>
      </w:tr>
      <w:tr w:rsidR="0000770B" w:rsidRPr="006F1304" w14:paraId="304B9938" w14:textId="77777777" w:rsidTr="00E35B05">
        <w:trPr>
          <w:trHeight w:val="300"/>
          <w:jc w:val="center"/>
        </w:trPr>
        <w:tc>
          <w:tcPr>
            <w:tcW w:w="2136" w:type="dxa"/>
            <w:shd w:val="clear" w:color="auto" w:fill="auto"/>
            <w:noWrap/>
            <w:vAlign w:val="center"/>
            <w:hideMark/>
          </w:tcPr>
          <w:p w14:paraId="2A40C032" w14:textId="77777777" w:rsidR="0000770B" w:rsidRPr="006F1304" w:rsidRDefault="0000770B" w:rsidP="008B31A5">
            <w:pPr>
              <w:jc w:val="both"/>
              <w:rPr>
                <w:b/>
              </w:rPr>
            </w:pPr>
            <w:proofErr w:type="spellStart"/>
            <w:r w:rsidRPr="006F1304">
              <w:rPr>
                <w:b/>
              </w:rPr>
              <w:lastRenderedPageBreak/>
              <w:t>gdpv</w:t>
            </w:r>
            <w:proofErr w:type="spellEnd"/>
          </w:p>
        </w:tc>
        <w:tc>
          <w:tcPr>
            <w:tcW w:w="7654" w:type="dxa"/>
            <w:shd w:val="clear" w:color="auto" w:fill="auto"/>
            <w:noWrap/>
            <w:vAlign w:val="center"/>
            <w:hideMark/>
          </w:tcPr>
          <w:p w14:paraId="111A12B0" w14:textId="77777777" w:rsidR="0000770B" w:rsidRPr="006F1304" w:rsidRDefault="0000770B" w:rsidP="008B31A5">
            <w:pPr>
              <w:jc w:val="both"/>
            </w:pPr>
            <w:r w:rsidRPr="006F1304">
              <w:br/>
              <w:t>Gross domestic product, volume, market prices. Source for all except IRL: OECD Economic Outlook n. 97. Source for IRL: IMF WEO April 2015</w:t>
            </w:r>
          </w:p>
        </w:tc>
      </w:tr>
      <w:tr w:rsidR="0000770B" w:rsidRPr="006F1304" w14:paraId="584E9350" w14:textId="77777777" w:rsidTr="00E35B05">
        <w:trPr>
          <w:trHeight w:val="300"/>
          <w:jc w:val="center"/>
        </w:trPr>
        <w:tc>
          <w:tcPr>
            <w:tcW w:w="2136" w:type="dxa"/>
            <w:shd w:val="clear" w:color="auto" w:fill="auto"/>
            <w:noWrap/>
            <w:vAlign w:val="center"/>
            <w:hideMark/>
          </w:tcPr>
          <w:p w14:paraId="5F41C46C" w14:textId="77777777" w:rsidR="0000770B" w:rsidRPr="006F1304" w:rsidRDefault="0000770B" w:rsidP="008B31A5">
            <w:pPr>
              <w:jc w:val="both"/>
              <w:rPr>
                <w:b/>
              </w:rPr>
            </w:pPr>
            <w:proofErr w:type="spellStart"/>
            <w:r w:rsidRPr="006F1304">
              <w:rPr>
                <w:b/>
              </w:rPr>
              <w:t>r_sh</w:t>
            </w:r>
            <w:proofErr w:type="spellEnd"/>
          </w:p>
        </w:tc>
        <w:tc>
          <w:tcPr>
            <w:tcW w:w="7654" w:type="dxa"/>
            <w:shd w:val="clear" w:color="auto" w:fill="auto"/>
            <w:noWrap/>
            <w:vAlign w:val="center"/>
            <w:hideMark/>
          </w:tcPr>
          <w:p w14:paraId="79193D38" w14:textId="77777777" w:rsidR="0000770B" w:rsidRPr="006F1304" w:rsidRDefault="0000770B" w:rsidP="008B31A5">
            <w:pPr>
              <w:jc w:val="both"/>
            </w:pPr>
            <w:r w:rsidRPr="006F1304">
              <w:br/>
              <w:t>Short-term interest rate. Source: OECD Economic Outlook n. 97</w:t>
            </w:r>
            <w:r>
              <w:t>.</w:t>
            </w:r>
          </w:p>
        </w:tc>
      </w:tr>
      <w:tr w:rsidR="0000770B" w:rsidRPr="006F1304" w14:paraId="26A37EF3" w14:textId="77777777" w:rsidTr="00E35B05">
        <w:trPr>
          <w:trHeight w:val="300"/>
          <w:jc w:val="center"/>
        </w:trPr>
        <w:tc>
          <w:tcPr>
            <w:tcW w:w="2136" w:type="dxa"/>
            <w:shd w:val="clear" w:color="auto" w:fill="auto"/>
            <w:noWrap/>
            <w:vAlign w:val="center"/>
            <w:hideMark/>
          </w:tcPr>
          <w:p w14:paraId="59765B92" w14:textId="77777777" w:rsidR="0000770B" w:rsidRPr="006F1304" w:rsidRDefault="0000770B" w:rsidP="008B31A5">
            <w:pPr>
              <w:jc w:val="both"/>
              <w:rPr>
                <w:b/>
              </w:rPr>
            </w:pPr>
            <w:proofErr w:type="spellStart"/>
            <w:r w:rsidRPr="006F1304">
              <w:rPr>
                <w:b/>
              </w:rPr>
              <w:t>r_lo</w:t>
            </w:r>
            <w:proofErr w:type="spellEnd"/>
          </w:p>
        </w:tc>
        <w:tc>
          <w:tcPr>
            <w:tcW w:w="7654" w:type="dxa"/>
            <w:shd w:val="clear" w:color="auto" w:fill="auto"/>
            <w:noWrap/>
            <w:vAlign w:val="center"/>
            <w:hideMark/>
          </w:tcPr>
          <w:p w14:paraId="2CA3E561" w14:textId="77777777" w:rsidR="0000770B" w:rsidRPr="006F1304" w:rsidRDefault="0000770B" w:rsidP="008B31A5">
            <w:pPr>
              <w:jc w:val="both"/>
            </w:pPr>
            <w:r w:rsidRPr="006F1304">
              <w:br/>
              <w:t>Long-term interest rate on government bonds. Source: OECD Economic Outlook n. 97</w:t>
            </w:r>
            <w:r>
              <w:t>.</w:t>
            </w:r>
          </w:p>
        </w:tc>
      </w:tr>
      <w:tr w:rsidR="0000770B" w:rsidRPr="006F1304" w14:paraId="3D7A66D0" w14:textId="77777777" w:rsidTr="00E35B05">
        <w:trPr>
          <w:trHeight w:val="300"/>
          <w:jc w:val="center"/>
        </w:trPr>
        <w:tc>
          <w:tcPr>
            <w:tcW w:w="2136" w:type="dxa"/>
            <w:shd w:val="clear" w:color="auto" w:fill="auto"/>
            <w:noWrap/>
            <w:vAlign w:val="center"/>
            <w:hideMark/>
          </w:tcPr>
          <w:p w14:paraId="6949F968" w14:textId="77777777" w:rsidR="0000770B" w:rsidRPr="006F1304" w:rsidRDefault="0000770B" w:rsidP="008B31A5">
            <w:pPr>
              <w:jc w:val="both"/>
              <w:rPr>
                <w:b/>
              </w:rPr>
            </w:pPr>
            <w:proofErr w:type="spellStart"/>
            <w:r w:rsidRPr="006F1304">
              <w:rPr>
                <w:b/>
              </w:rPr>
              <w:t>pfce</w:t>
            </w:r>
            <w:proofErr w:type="spellEnd"/>
          </w:p>
        </w:tc>
        <w:tc>
          <w:tcPr>
            <w:tcW w:w="7654" w:type="dxa"/>
            <w:shd w:val="clear" w:color="auto" w:fill="auto"/>
            <w:noWrap/>
            <w:vAlign w:val="center"/>
            <w:hideMark/>
          </w:tcPr>
          <w:p w14:paraId="55F1EF69" w14:textId="77777777" w:rsidR="0000770B" w:rsidRPr="006F1304" w:rsidRDefault="0000770B" w:rsidP="008B31A5">
            <w:pPr>
              <w:jc w:val="both"/>
            </w:pPr>
            <w:r w:rsidRPr="006F1304">
              <w:br/>
              <w:t>Old</w:t>
            </w:r>
            <w:r>
              <w:t xml:space="preserve"> variable. The more recent version is used. See </w:t>
            </w:r>
            <w:proofErr w:type="spellStart"/>
            <w:r w:rsidRPr="00D03364">
              <w:rPr>
                <w:b/>
              </w:rPr>
              <w:t>pfce_new</w:t>
            </w:r>
            <w:proofErr w:type="spellEnd"/>
            <w:r w:rsidRPr="006F1304">
              <w:t>.</w:t>
            </w:r>
          </w:p>
        </w:tc>
      </w:tr>
      <w:tr w:rsidR="0000770B" w:rsidRPr="006F1304" w14:paraId="23A512A5" w14:textId="77777777" w:rsidTr="00E35B05">
        <w:trPr>
          <w:trHeight w:val="300"/>
          <w:jc w:val="center"/>
        </w:trPr>
        <w:tc>
          <w:tcPr>
            <w:tcW w:w="2136" w:type="dxa"/>
            <w:shd w:val="clear" w:color="auto" w:fill="auto"/>
            <w:noWrap/>
            <w:vAlign w:val="center"/>
            <w:hideMark/>
          </w:tcPr>
          <w:p w14:paraId="1BC700F9" w14:textId="77777777" w:rsidR="0000770B" w:rsidRPr="006F1304" w:rsidRDefault="0000770B" w:rsidP="008B31A5">
            <w:pPr>
              <w:jc w:val="both"/>
              <w:rPr>
                <w:b/>
              </w:rPr>
            </w:pPr>
            <w:proofErr w:type="spellStart"/>
            <w:r w:rsidRPr="006F1304">
              <w:rPr>
                <w:b/>
              </w:rPr>
              <w:t>gfcf</w:t>
            </w:r>
            <w:proofErr w:type="spellEnd"/>
          </w:p>
        </w:tc>
        <w:tc>
          <w:tcPr>
            <w:tcW w:w="7654" w:type="dxa"/>
            <w:shd w:val="clear" w:color="auto" w:fill="auto"/>
            <w:noWrap/>
            <w:vAlign w:val="center"/>
            <w:hideMark/>
          </w:tcPr>
          <w:p w14:paraId="3C7D07E8" w14:textId="77777777" w:rsidR="0000770B" w:rsidRPr="006F1304" w:rsidRDefault="0000770B" w:rsidP="008B31A5">
            <w:pPr>
              <w:jc w:val="both"/>
            </w:pPr>
            <w:r w:rsidRPr="006F1304">
              <w:br/>
            </w:r>
            <w:r>
              <w:t>O</w:t>
            </w:r>
            <w:r w:rsidRPr="006F1304">
              <w:t>ld</w:t>
            </w:r>
            <w:r>
              <w:t xml:space="preserve"> variable. Unused in the paper</w:t>
            </w:r>
            <w:r>
              <w:rPr>
                <w:b/>
              </w:rPr>
              <w:t>.</w:t>
            </w:r>
          </w:p>
        </w:tc>
      </w:tr>
      <w:tr w:rsidR="0000770B" w:rsidRPr="006F1304" w14:paraId="0BA64461" w14:textId="77777777" w:rsidTr="00E35B05">
        <w:trPr>
          <w:trHeight w:val="300"/>
          <w:jc w:val="center"/>
        </w:trPr>
        <w:tc>
          <w:tcPr>
            <w:tcW w:w="2136" w:type="dxa"/>
            <w:shd w:val="clear" w:color="auto" w:fill="auto"/>
            <w:noWrap/>
            <w:vAlign w:val="center"/>
            <w:hideMark/>
          </w:tcPr>
          <w:p w14:paraId="0EC902BC" w14:textId="77777777" w:rsidR="0000770B" w:rsidRPr="006F1304" w:rsidRDefault="0000770B" w:rsidP="008B31A5">
            <w:pPr>
              <w:jc w:val="both"/>
              <w:rPr>
                <w:b/>
              </w:rPr>
            </w:pPr>
            <w:proofErr w:type="spellStart"/>
            <w:r w:rsidRPr="006F1304">
              <w:rPr>
                <w:b/>
              </w:rPr>
              <w:t>popt</w:t>
            </w:r>
            <w:proofErr w:type="spellEnd"/>
          </w:p>
        </w:tc>
        <w:tc>
          <w:tcPr>
            <w:tcW w:w="7654" w:type="dxa"/>
            <w:shd w:val="clear" w:color="auto" w:fill="auto"/>
            <w:noWrap/>
            <w:vAlign w:val="center"/>
            <w:hideMark/>
          </w:tcPr>
          <w:p w14:paraId="507AA204" w14:textId="77777777" w:rsidR="0000770B" w:rsidRPr="006F1304" w:rsidRDefault="0000770B" w:rsidP="008B31A5">
            <w:pPr>
              <w:jc w:val="both"/>
            </w:pPr>
            <w:r w:rsidRPr="006F1304">
              <w:br/>
              <w:t>Population. Unit: Persons, thousands. Source: OECD Historical population data and projections (1950-2050)</w:t>
            </w:r>
            <w:r>
              <w:t>.</w:t>
            </w:r>
          </w:p>
        </w:tc>
      </w:tr>
      <w:tr w:rsidR="0000770B" w:rsidRPr="006F1304" w14:paraId="2D270DF0" w14:textId="77777777" w:rsidTr="00E35B05">
        <w:trPr>
          <w:trHeight w:val="300"/>
          <w:jc w:val="center"/>
        </w:trPr>
        <w:tc>
          <w:tcPr>
            <w:tcW w:w="2136" w:type="dxa"/>
            <w:shd w:val="clear" w:color="auto" w:fill="auto"/>
            <w:noWrap/>
            <w:vAlign w:val="center"/>
            <w:hideMark/>
          </w:tcPr>
          <w:p w14:paraId="0499F750" w14:textId="77777777" w:rsidR="0000770B" w:rsidRPr="006F1304" w:rsidRDefault="0000770B" w:rsidP="008B31A5">
            <w:pPr>
              <w:jc w:val="both"/>
              <w:rPr>
                <w:b/>
              </w:rPr>
            </w:pPr>
            <w:proofErr w:type="spellStart"/>
            <w:r w:rsidRPr="006F1304">
              <w:rPr>
                <w:b/>
              </w:rPr>
              <w:t>fbgsd</w:t>
            </w:r>
            <w:proofErr w:type="spellEnd"/>
          </w:p>
        </w:tc>
        <w:tc>
          <w:tcPr>
            <w:tcW w:w="7654" w:type="dxa"/>
            <w:shd w:val="clear" w:color="auto" w:fill="auto"/>
            <w:noWrap/>
            <w:vAlign w:val="center"/>
            <w:hideMark/>
          </w:tcPr>
          <w:p w14:paraId="21B162C6" w14:textId="77777777" w:rsidR="0000770B" w:rsidRPr="006F1304" w:rsidRDefault="0000770B" w:rsidP="008B31A5">
            <w:pPr>
              <w:jc w:val="both"/>
            </w:pPr>
            <w:r w:rsidRPr="006F1304">
              <w:br/>
              <w:t>Trade balances for goods and services</w:t>
            </w:r>
            <w:r w:rsidRPr="006F1304">
              <w:br/>
              <w:t>Source: OECD Economic Outlook n.94</w:t>
            </w:r>
            <w:r>
              <w:t>.</w:t>
            </w:r>
          </w:p>
        </w:tc>
      </w:tr>
      <w:tr w:rsidR="0000770B" w:rsidRPr="006F1304" w14:paraId="232F3231" w14:textId="77777777" w:rsidTr="00E35B05">
        <w:trPr>
          <w:trHeight w:val="300"/>
          <w:jc w:val="center"/>
        </w:trPr>
        <w:tc>
          <w:tcPr>
            <w:tcW w:w="2136" w:type="dxa"/>
            <w:shd w:val="clear" w:color="auto" w:fill="auto"/>
            <w:noWrap/>
            <w:vAlign w:val="center"/>
            <w:hideMark/>
          </w:tcPr>
          <w:p w14:paraId="4E4E7904" w14:textId="77777777" w:rsidR="0000770B" w:rsidRPr="006F1304" w:rsidRDefault="0000770B" w:rsidP="008B31A5">
            <w:pPr>
              <w:jc w:val="both"/>
              <w:rPr>
                <w:b/>
              </w:rPr>
            </w:pPr>
            <w:r w:rsidRPr="006F1304">
              <w:rPr>
                <w:b/>
              </w:rPr>
              <w:t>NE</w:t>
            </w:r>
          </w:p>
        </w:tc>
        <w:tc>
          <w:tcPr>
            <w:tcW w:w="7654" w:type="dxa"/>
            <w:shd w:val="clear" w:color="auto" w:fill="auto"/>
            <w:noWrap/>
            <w:vAlign w:val="center"/>
            <w:hideMark/>
          </w:tcPr>
          <w:p w14:paraId="33857D93" w14:textId="77777777" w:rsidR="0000770B" w:rsidRPr="006F1304" w:rsidRDefault="0000770B" w:rsidP="008B31A5">
            <w:pPr>
              <w:jc w:val="both"/>
            </w:pPr>
            <w:r w:rsidRPr="006F1304">
              <w:br/>
              <w:t>Net Exports (GDPV-FDDV)</w:t>
            </w:r>
            <w:r>
              <w:t>.</w:t>
            </w:r>
          </w:p>
        </w:tc>
      </w:tr>
      <w:tr w:rsidR="0000770B" w:rsidRPr="006F1304" w14:paraId="6E838DB8" w14:textId="77777777" w:rsidTr="00E35B05">
        <w:trPr>
          <w:trHeight w:val="300"/>
          <w:jc w:val="center"/>
        </w:trPr>
        <w:tc>
          <w:tcPr>
            <w:tcW w:w="2136" w:type="dxa"/>
            <w:shd w:val="clear" w:color="auto" w:fill="auto"/>
            <w:noWrap/>
            <w:vAlign w:val="center"/>
            <w:hideMark/>
          </w:tcPr>
          <w:p w14:paraId="64A547B5" w14:textId="77777777" w:rsidR="0000770B" w:rsidRPr="006F1304" w:rsidRDefault="0000770B" w:rsidP="008B31A5">
            <w:pPr>
              <w:jc w:val="both"/>
              <w:rPr>
                <w:b/>
              </w:rPr>
            </w:pPr>
            <w:proofErr w:type="spellStart"/>
            <w:r w:rsidRPr="006F1304">
              <w:rPr>
                <w:b/>
              </w:rPr>
              <w:t>itv</w:t>
            </w:r>
            <w:proofErr w:type="spellEnd"/>
          </w:p>
        </w:tc>
        <w:tc>
          <w:tcPr>
            <w:tcW w:w="7654" w:type="dxa"/>
            <w:shd w:val="clear" w:color="auto" w:fill="auto"/>
            <w:noWrap/>
            <w:vAlign w:val="center"/>
            <w:hideMark/>
          </w:tcPr>
          <w:p w14:paraId="33BCD6A7" w14:textId="77777777" w:rsidR="0000770B" w:rsidRPr="006F1304" w:rsidRDefault="0000770B" w:rsidP="008B31A5">
            <w:pPr>
              <w:jc w:val="both"/>
            </w:pPr>
            <w:r w:rsidRPr="006F1304">
              <w:br/>
              <w:t>Gross fixed capital formation, total volume. Source: OECD Economic Outlook n. 97</w:t>
            </w:r>
            <w:r>
              <w:t>.</w:t>
            </w:r>
          </w:p>
        </w:tc>
      </w:tr>
      <w:tr w:rsidR="0000770B" w:rsidRPr="006F1304" w14:paraId="2CFA7676" w14:textId="77777777" w:rsidTr="00E35B05">
        <w:trPr>
          <w:trHeight w:val="300"/>
          <w:jc w:val="center"/>
        </w:trPr>
        <w:tc>
          <w:tcPr>
            <w:tcW w:w="2136" w:type="dxa"/>
            <w:shd w:val="clear" w:color="auto" w:fill="auto"/>
            <w:noWrap/>
            <w:vAlign w:val="center"/>
            <w:hideMark/>
          </w:tcPr>
          <w:p w14:paraId="47E0CFDE" w14:textId="77777777" w:rsidR="0000770B" w:rsidRPr="006F1304" w:rsidRDefault="0000770B" w:rsidP="008B31A5">
            <w:pPr>
              <w:jc w:val="both"/>
              <w:rPr>
                <w:b/>
              </w:rPr>
            </w:pPr>
            <w:proofErr w:type="spellStart"/>
            <w:r w:rsidRPr="006F1304">
              <w:rPr>
                <w:b/>
              </w:rPr>
              <w:t>fddv</w:t>
            </w:r>
            <w:proofErr w:type="spellEnd"/>
          </w:p>
        </w:tc>
        <w:tc>
          <w:tcPr>
            <w:tcW w:w="7654" w:type="dxa"/>
            <w:shd w:val="clear" w:color="auto" w:fill="auto"/>
            <w:noWrap/>
            <w:vAlign w:val="center"/>
            <w:hideMark/>
          </w:tcPr>
          <w:p w14:paraId="16935397" w14:textId="77777777" w:rsidR="0000770B" w:rsidRPr="006F1304" w:rsidRDefault="0000770B" w:rsidP="008B31A5">
            <w:pPr>
              <w:jc w:val="both"/>
            </w:pPr>
            <w:r w:rsidRPr="006F1304">
              <w:br/>
              <w:t>Final domestic expenditure, volume. Source: OECD Economic Outlook n. 97</w:t>
            </w:r>
            <w:r>
              <w:t>.</w:t>
            </w:r>
          </w:p>
        </w:tc>
      </w:tr>
      <w:tr w:rsidR="0000770B" w:rsidRPr="006F1304" w14:paraId="341AAF15" w14:textId="77777777" w:rsidTr="00E35B05">
        <w:trPr>
          <w:trHeight w:val="300"/>
          <w:jc w:val="center"/>
        </w:trPr>
        <w:tc>
          <w:tcPr>
            <w:tcW w:w="2136" w:type="dxa"/>
            <w:shd w:val="clear" w:color="auto" w:fill="auto"/>
            <w:noWrap/>
            <w:vAlign w:val="center"/>
            <w:hideMark/>
          </w:tcPr>
          <w:p w14:paraId="1F9F65F6" w14:textId="77777777" w:rsidR="0000770B" w:rsidRPr="006F1304" w:rsidRDefault="0000770B" w:rsidP="008B31A5">
            <w:pPr>
              <w:jc w:val="both"/>
              <w:rPr>
                <w:b/>
              </w:rPr>
            </w:pPr>
            <w:proofErr w:type="spellStart"/>
            <w:r w:rsidRPr="006F1304">
              <w:rPr>
                <w:b/>
              </w:rPr>
              <w:t>ipv</w:t>
            </w:r>
            <w:proofErr w:type="spellEnd"/>
          </w:p>
        </w:tc>
        <w:tc>
          <w:tcPr>
            <w:tcW w:w="7654" w:type="dxa"/>
            <w:shd w:val="clear" w:color="auto" w:fill="auto"/>
            <w:noWrap/>
            <w:vAlign w:val="center"/>
            <w:hideMark/>
          </w:tcPr>
          <w:p w14:paraId="411740B8" w14:textId="77777777" w:rsidR="0000770B" w:rsidRPr="006F1304" w:rsidRDefault="0000770B" w:rsidP="008B31A5">
            <w:pPr>
              <w:jc w:val="both"/>
            </w:pPr>
            <w:r w:rsidRPr="006F1304">
              <w:br/>
              <w:t>Private Investments (Total - Government gross fixed capital formation, volume) from OECD Economic Outlook n. 97, except AUT, PRT, ITA, IRL, ESP (from ECOFIN AMECO, Private Investments scaled with Total Investment Deflator from same database)</w:t>
            </w:r>
            <w:r>
              <w:t>.</w:t>
            </w:r>
          </w:p>
        </w:tc>
      </w:tr>
      <w:tr w:rsidR="0000770B" w:rsidRPr="006F1304" w14:paraId="23625995" w14:textId="77777777" w:rsidTr="00E35B05">
        <w:trPr>
          <w:trHeight w:val="300"/>
          <w:jc w:val="center"/>
        </w:trPr>
        <w:tc>
          <w:tcPr>
            <w:tcW w:w="2136" w:type="dxa"/>
            <w:shd w:val="clear" w:color="auto" w:fill="auto"/>
            <w:noWrap/>
            <w:vAlign w:val="center"/>
            <w:hideMark/>
          </w:tcPr>
          <w:p w14:paraId="7EBB831B" w14:textId="77777777" w:rsidR="0000770B" w:rsidRPr="006F1304" w:rsidRDefault="0000770B" w:rsidP="008B31A5">
            <w:pPr>
              <w:jc w:val="both"/>
              <w:rPr>
                <w:b/>
              </w:rPr>
            </w:pPr>
            <w:proofErr w:type="spellStart"/>
            <w:r w:rsidRPr="006F1304">
              <w:rPr>
                <w:b/>
              </w:rPr>
              <w:t>cpv</w:t>
            </w:r>
            <w:proofErr w:type="spellEnd"/>
          </w:p>
        </w:tc>
        <w:tc>
          <w:tcPr>
            <w:tcW w:w="7654" w:type="dxa"/>
            <w:shd w:val="clear" w:color="auto" w:fill="auto"/>
            <w:noWrap/>
            <w:vAlign w:val="center"/>
            <w:hideMark/>
          </w:tcPr>
          <w:p w14:paraId="7AA191C6" w14:textId="77777777" w:rsidR="0000770B" w:rsidRPr="006F1304" w:rsidRDefault="0000770B" w:rsidP="008B31A5">
            <w:pPr>
              <w:jc w:val="both"/>
            </w:pPr>
            <w:r w:rsidRPr="006F1304">
              <w:br/>
              <w:t>Private final consumption expenditure, volume. Source: OECD Economic Outlook n. 97</w:t>
            </w:r>
            <w:r>
              <w:t>.</w:t>
            </w:r>
          </w:p>
        </w:tc>
      </w:tr>
      <w:tr w:rsidR="0000770B" w:rsidRPr="006F1304" w14:paraId="6DD1D45E" w14:textId="77777777" w:rsidTr="00E35B05">
        <w:trPr>
          <w:trHeight w:val="300"/>
          <w:jc w:val="center"/>
        </w:trPr>
        <w:tc>
          <w:tcPr>
            <w:tcW w:w="2136" w:type="dxa"/>
            <w:shd w:val="clear" w:color="auto" w:fill="auto"/>
            <w:noWrap/>
            <w:vAlign w:val="center"/>
            <w:hideMark/>
          </w:tcPr>
          <w:p w14:paraId="0F137E53" w14:textId="77777777" w:rsidR="0000770B" w:rsidRPr="006F1304" w:rsidRDefault="0000770B" w:rsidP="008B31A5">
            <w:pPr>
              <w:jc w:val="both"/>
              <w:rPr>
                <w:b/>
              </w:rPr>
            </w:pPr>
            <w:proofErr w:type="spellStart"/>
            <w:r w:rsidRPr="006F1304">
              <w:rPr>
                <w:b/>
              </w:rPr>
              <w:t>utr</w:t>
            </w:r>
            <w:proofErr w:type="spellEnd"/>
          </w:p>
        </w:tc>
        <w:tc>
          <w:tcPr>
            <w:tcW w:w="7654" w:type="dxa"/>
            <w:shd w:val="clear" w:color="auto" w:fill="auto"/>
            <w:noWrap/>
            <w:vAlign w:val="center"/>
            <w:hideMark/>
          </w:tcPr>
          <w:p w14:paraId="79E1FDC8" w14:textId="77777777" w:rsidR="0000770B" w:rsidRPr="006F1304" w:rsidRDefault="0000770B" w:rsidP="008B31A5">
            <w:pPr>
              <w:jc w:val="both"/>
            </w:pPr>
            <w:r w:rsidRPr="006F1304">
              <w:br/>
              <w:t>Unemployment rate. Source: OECD Economic Outlook n. 97</w:t>
            </w:r>
            <w:r>
              <w:t>.</w:t>
            </w:r>
          </w:p>
        </w:tc>
      </w:tr>
      <w:tr w:rsidR="0000770B" w:rsidRPr="006F1304" w14:paraId="08AF6A2A" w14:textId="77777777" w:rsidTr="00E35B05">
        <w:trPr>
          <w:trHeight w:val="300"/>
          <w:jc w:val="center"/>
        </w:trPr>
        <w:tc>
          <w:tcPr>
            <w:tcW w:w="2136" w:type="dxa"/>
            <w:shd w:val="clear" w:color="auto" w:fill="auto"/>
            <w:noWrap/>
            <w:vAlign w:val="center"/>
            <w:hideMark/>
          </w:tcPr>
          <w:p w14:paraId="25CD1DF3" w14:textId="77777777" w:rsidR="0000770B" w:rsidRPr="006F1304" w:rsidRDefault="0000770B" w:rsidP="008B31A5">
            <w:pPr>
              <w:jc w:val="both"/>
              <w:rPr>
                <w:b/>
              </w:rPr>
            </w:pPr>
            <w:proofErr w:type="spellStart"/>
            <w:r w:rsidRPr="006F1304">
              <w:rPr>
                <w:b/>
              </w:rPr>
              <w:lastRenderedPageBreak/>
              <w:t>totmk</w:t>
            </w:r>
            <w:proofErr w:type="spellEnd"/>
          </w:p>
        </w:tc>
        <w:tc>
          <w:tcPr>
            <w:tcW w:w="7654" w:type="dxa"/>
            <w:shd w:val="clear" w:color="auto" w:fill="auto"/>
            <w:noWrap/>
            <w:vAlign w:val="center"/>
            <w:hideMark/>
          </w:tcPr>
          <w:p w14:paraId="4902BA3C" w14:textId="0FF66A70" w:rsidR="0000770B" w:rsidRPr="006F1304" w:rsidRDefault="0000770B" w:rsidP="008B31A5">
            <w:pPr>
              <w:jc w:val="both"/>
            </w:pPr>
            <w:r w:rsidRPr="006F1304">
              <w:t xml:space="preserve">DS Market - TOT RETURN index. Source: </w:t>
            </w:r>
            <w:proofErr w:type="spellStart"/>
            <w:r w:rsidRPr="006F1304">
              <w:t>Datastream</w:t>
            </w:r>
            <w:proofErr w:type="spellEnd"/>
            <w:r w:rsidRPr="006F1304">
              <w:t>. Code: TOTMKXX(RI). Note: set 30/12/1978 as starting date and 30/</w:t>
            </w:r>
            <w:r>
              <w:t xml:space="preserve">12/2014 as end date to get </w:t>
            </w:r>
            <w:r w:rsidRPr="006F1304">
              <w:t>end</w:t>
            </w:r>
            <w:r>
              <w:t>-year</w:t>
            </w:r>
            <w:r w:rsidRPr="006F1304">
              <w:t xml:space="preserve"> values</w:t>
            </w:r>
            <w:r>
              <w:t>.</w:t>
            </w:r>
          </w:p>
        </w:tc>
      </w:tr>
      <w:tr w:rsidR="0000770B" w:rsidRPr="006F1304" w14:paraId="5890D534" w14:textId="77777777" w:rsidTr="00E35B05">
        <w:trPr>
          <w:trHeight w:val="300"/>
          <w:jc w:val="center"/>
        </w:trPr>
        <w:tc>
          <w:tcPr>
            <w:tcW w:w="2136" w:type="dxa"/>
            <w:shd w:val="clear" w:color="auto" w:fill="auto"/>
            <w:noWrap/>
            <w:vAlign w:val="center"/>
            <w:hideMark/>
          </w:tcPr>
          <w:p w14:paraId="4C8882FB" w14:textId="77777777" w:rsidR="0000770B" w:rsidRPr="006F1304" w:rsidRDefault="0000770B" w:rsidP="008B31A5">
            <w:pPr>
              <w:jc w:val="both"/>
              <w:rPr>
                <w:b/>
              </w:rPr>
            </w:pPr>
            <w:proofErr w:type="spellStart"/>
            <w:r w:rsidRPr="006F1304">
              <w:rPr>
                <w:b/>
              </w:rPr>
              <w:t>neer</w:t>
            </w:r>
            <w:proofErr w:type="spellEnd"/>
          </w:p>
        </w:tc>
        <w:tc>
          <w:tcPr>
            <w:tcW w:w="7654" w:type="dxa"/>
            <w:shd w:val="clear" w:color="auto" w:fill="auto"/>
            <w:noWrap/>
            <w:vAlign w:val="center"/>
            <w:hideMark/>
          </w:tcPr>
          <w:p w14:paraId="2C15BA17" w14:textId="77777777" w:rsidR="0000770B" w:rsidRPr="006F1304" w:rsidRDefault="0000770B" w:rsidP="008B31A5">
            <w:pPr>
              <w:jc w:val="both"/>
            </w:pPr>
            <w:r w:rsidRPr="006F1304">
              <w:br/>
              <w:t>Nominal effective exchange rate, chain-linked, overall weights. Source: OECD Economic Outlook n. 97</w:t>
            </w:r>
            <w:r>
              <w:t>.</w:t>
            </w:r>
          </w:p>
        </w:tc>
      </w:tr>
      <w:tr w:rsidR="0000770B" w:rsidRPr="006F1304" w14:paraId="2E090A3F" w14:textId="77777777" w:rsidTr="00E35B05">
        <w:trPr>
          <w:trHeight w:val="300"/>
          <w:jc w:val="center"/>
        </w:trPr>
        <w:tc>
          <w:tcPr>
            <w:tcW w:w="2136" w:type="dxa"/>
            <w:shd w:val="clear" w:color="auto" w:fill="auto"/>
            <w:noWrap/>
            <w:vAlign w:val="center"/>
            <w:hideMark/>
          </w:tcPr>
          <w:p w14:paraId="4750055B" w14:textId="77777777" w:rsidR="0000770B" w:rsidRPr="006F1304" w:rsidRDefault="0000770B" w:rsidP="008B31A5">
            <w:pPr>
              <w:jc w:val="both"/>
              <w:rPr>
                <w:b/>
              </w:rPr>
            </w:pPr>
            <w:proofErr w:type="spellStart"/>
            <w:r w:rsidRPr="006F1304">
              <w:rPr>
                <w:b/>
              </w:rPr>
              <w:t>hfce</w:t>
            </w:r>
            <w:proofErr w:type="spellEnd"/>
          </w:p>
        </w:tc>
        <w:tc>
          <w:tcPr>
            <w:tcW w:w="7654" w:type="dxa"/>
            <w:shd w:val="clear" w:color="auto" w:fill="auto"/>
            <w:noWrap/>
            <w:vAlign w:val="center"/>
            <w:hideMark/>
          </w:tcPr>
          <w:p w14:paraId="63EA4940" w14:textId="77777777" w:rsidR="0000770B" w:rsidRPr="006F1304" w:rsidRDefault="0000770B" w:rsidP="008B31A5">
            <w:pPr>
              <w:jc w:val="both"/>
            </w:pPr>
            <w:r w:rsidRPr="006F1304">
              <w:br/>
              <w:t xml:space="preserve">Household final consumption expenditure, constant prices (USD-2005 prices). </w:t>
            </w:r>
            <w:proofErr w:type="spellStart"/>
            <w:r w:rsidRPr="006F1304">
              <w:t>Datastream</w:t>
            </w:r>
            <w:proofErr w:type="spellEnd"/>
            <w:r w:rsidRPr="006F1304">
              <w:t xml:space="preserve"> code: *WDP2B9C. Source: World Bank. Downloaded 12/05/2016. Note: includes expenditures of non-profit institutions serving households.</w:t>
            </w:r>
          </w:p>
        </w:tc>
      </w:tr>
      <w:tr w:rsidR="0000770B" w:rsidRPr="006F1304" w14:paraId="1CC14899" w14:textId="77777777" w:rsidTr="00E35B05">
        <w:trPr>
          <w:trHeight w:val="300"/>
          <w:jc w:val="center"/>
        </w:trPr>
        <w:tc>
          <w:tcPr>
            <w:tcW w:w="2136" w:type="dxa"/>
            <w:shd w:val="clear" w:color="auto" w:fill="auto"/>
            <w:noWrap/>
            <w:vAlign w:val="center"/>
            <w:hideMark/>
          </w:tcPr>
          <w:p w14:paraId="2BDADF3D" w14:textId="77777777" w:rsidR="0000770B" w:rsidRPr="006F1304" w:rsidRDefault="0000770B" w:rsidP="008B31A5">
            <w:pPr>
              <w:jc w:val="both"/>
              <w:rPr>
                <w:b/>
              </w:rPr>
            </w:pPr>
            <w:proofErr w:type="spellStart"/>
            <w:r w:rsidRPr="006F1304">
              <w:rPr>
                <w:b/>
              </w:rPr>
              <w:t>pfce_new</w:t>
            </w:r>
            <w:proofErr w:type="spellEnd"/>
          </w:p>
        </w:tc>
        <w:tc>
          <w:tcPr>
            <w:tcW w:w="7654" w:type="dxa"/>
            <w:shd w:val="clear" w:color="auto" w:fill="auto"/>
            <w:noWrap/>
            <w:vAlign w:val="center"/>
            <w:hideMark/>
          </w:tcPr>
          <w:p w14:paraId="06B30486" w14:textId="77777777" w:rsidR="0000770B" w:rsidRPr="006F1304" w:rsidRDefault="0000770B" w:rsidP="008B31A5">
            <w:pPr>
              <w:jc w:val="both"/>
            </w:pPr>
            <w:r w:rsidRPr="006F1304">
              <w:br/>
              <w:t>Household Consumption Expenditure, incl. NPISHs, Nominal, IMF International Financial Statistics database</w:t>
            </w:r>
            <w:r>
              <w:t>.</w:t>
            </w:r>
          </w:p>
        </w:tc>
      </w:tr>
      <w:tr w:rsidR="0000770B" w:rsidRPr="006F1304" w14:paraId="7566AA0A" w14:textId="77777777" w:rsidTr="00E35B05">
        <w:trPr>
          <w:trHeight w:val="300"/>
          <w:jc w:val="center"/>
        </w:trPr>
        <w:tc>
          <w:tcPr>
            <w:tcW w:w="2136" w:type="dxa"/>
            <w:shd w:val="clear" w:color="auto" w:fill="auto"/>
            <w:noWrap/>
            <w:vAlign w:val="center"/>
            <w:hideMark/>
          </w:tcPr>
          <w:p w14:paraId="3E0AC6BC" w14:textId="77777777" w:rsidR="0000770B" w:rsidRPr="006F1304" w:rsidRDefault="0000770B" w:rsidP="008B31A5">
            <w:pPr>
              <w:jc w:val="both"/>
              <w:rPr>
                <w:b/>
              </w:rPr>
            </w:pPr>
            <w:proofErr w:type="spellStart"/>
            <w:r w:rsidRPr="006F1304">
              <w:rPr>
                <w:b/>
              </w:rPr>
              <w:t>yrg</w:t>
            </w:r>
            <w:proofErr w:type="spellEnd"/>
          </w:p>
        </w:tc>
        <w:tc>
          <w:tcPr>
            <w:tcW w:w="7654" w:type="dxa"/>
            <w:shd w:val="clear" w:color="auto" w:fill="auto"/>
            <w:noWrap/>
            <w:vAlign w:val="center"/>
            <w:hideMark/>
          </w:tcPr>
          <w:p w14:paraId="3E76FA21" w14:textId="77777777" w:rsidR="0000770B" w:rsidRPr="006F1304" w:rsidRDefault="0000770B" w:rsidP="008B31A5">
            <w:pPr>
              <w:jc w:val="both"/>
            </w:pPr>
            <w:r w:rsidRPr="006F1304">
              <w:br/>
              <w:t>Current receipts, general government value, OECD EO 98. Note: for AUS 1978-1988 and IRL before 1990 data come from EO 88.</w:t>
            </w:r>
          </w:p>
        </w:tc>
      </w:tr>
      <w:tr w:rsidR="0000770B" w:rsidRPr="006F1304" w14:paraId="6BD1E1BC" w14:textId="77777777" w:rsidTr="00E35B05">
        <w:trPr>
          <w:trHeight w:val="300"/>
          <w:jc w:val="center"/>
        </w:trPr>
        <w:tc>
          <w:tcPr>
            <w:tcW w:w="2136" w:type="dxa"/>
            <w:shd w:val="clear" w:color="auto" w:fill="auto"/>
            <w:noWrap/>
            <w:vAlign w:val="center"/>
            <w:hideMark/>
          </w:tcPr>
          <w:p w14:paraId="7E962A9B" w14:textId="77777777" w:rsidR="0000770B" w:rsidRPr="006F1304" w:rsidRDefault="0000770B" w:rsidP="008B31A5">
            <w:pPr>
              <w:jc w:val="both"/>
              <w:rPr>
                <w:b/>
              </w:rPr>
            </w:pPr>
            <w:proofErr w:type="spellStart"/>
            <w:r w:rsidRPr="006F1304">
              <w:rPr>
                <w:b/>
              </w:rPr>
              <w:t>oco</w:t>
            </w:r>
            <w:proofErr w:type="spellEnd"/>
          </w:p>
        </w:tc>
        <w:tc>
          <w:tcPr>
            <w:tcW w:w="7654" w:type="dxa"/>
            <w:shd w:val="clear" w:color="auto" w:fill="auto"/>
            <w:noWrap/>
            <w:vAlign w:val="center"/>
            <w:hideMark/>
          </w:tcPr>
          <w:p w14:paraId="61ED6894" w14:textId="77777777" w:rsidR="0000770B" w:rsidRPr="006F1304" w:rsidRDefault="0000770B" w:rsidP="008B31A5">
            <w:pPr>
              <w:jc w:val="both"/>
            </w:pPr>
            <w:r w:rsidRPr="006F1304">
              <w:br/>
              <w:t>Other current outlays, general government, value (TSUB (subsidies, value) +TOCP (other current payments general government, value)), OECD EO 98. Note: for AUS 1978-1988 and IRL before 1990 data come from EO 88.</w:t>
            </w:r>
          </w:p>
        </w:tc>
      </w:tr>
      <w:tr w:rsidR="0000770B" w:rsidRPr="006F1304" w14:paraId="5A5C32C5" w14:textId="77777777" w:rsidTr="00E35B05">
        <w:trPr>
          <w:trHeight w:val="300"/>
          <w:jc w:val="center"/>
        </w:trPr>
        <w:tc>
          <w:tcPr>
            <w:tcW w:w="2136" w:type="dxa"/>
            <w:shd w:val="clear" w:color="auto" w:fill="auto"/>
            <w:noWrap/>
            <w:vAlign w:val="center"/>
            <w:hideMark/>
          </w:tcPr>
          <w:p w14:paraId="6DCDDFAE" w14:textId="77777777" w:rsidR="0000770B" w:rsidRPr="006F1304" w:rsidRDefault="0000770B" w:rsidP="008B31A5">
            <w:pPr>
              <w:jc w:val="both"/>
              <w:rPr>
                <w:b/>
              </w:rPr>
            </w:pPr>
            <w:proofErr w:type="spellStart"/>
            <w:r w:rsidRPr="006F1304">
              <w:rPr>
                <w:b/>
              </w:rPr>
              <w:t>sspg</w:t>
            </w:r>
            <w:proofErr w:type="spellEnd"/>
          </w:p>
        </w:tc>
        <w:tc>
          <w:tcPr>
            <w:tcW w:w="7654" w:type="dxa"/>
            <w:shd w:val="clear" w:color="auto" w:fill="auto"/>
            <w:noWrap/>
            <w:vAlign w:val="center"/>
            <w:hideMark/>
          </w:tcPr>
          <w:p w14:paraId="0E0B161E" w14:textId="77777777" w:rsidR="0000770B" w:rsidRPr="006F1304" w:rsidRDefault="0000770B" w:rsidP="008B31A5">
            <w:pPr>
              <w:jc w:val="both"/>
            </w:pPr>
            <w:r w:rsidRPr="006F1304">
              <w:br/>
              <w:t>Social security benefits paid by general government, value, OECD EO 98. Note: for AUS 1978-1988 and IRL before 1990 data come from EO 88.</w:t>
            </w:r>
          </w:p>
        </w:tc>
      </w:tr>
      <w:tr w:rsidR="0000770B" w:rsidRPr="006F1304" w14:paraId="686F33F6" w14:textId="77777777" w:rsidTr="00E35B05">
        <w:trPr>
          <w:trHeight w:val="300"/>
          <w:jc w:val="center"/>
        </w:trPr>
        <w:tc>
          <w:tcPr>
            <w:tcW w:w="2136" w:type="dxa"/>
            <w:shd w:val="clear" w:color="auto" w:fill="auto"/>
            <w:noWrap/>
            <w:vAlign w:val="center"/>
            <w:hideMark/>
          </w:tcPr>
          <w:p w14:paraId="1E14A069" w14:textId="77777777" w:rsidR="0000770B" w:rsidRPr="006F1304" w:rsidRDefault="0000770B" w:rsidP="008B31A5">
            <w:pPr>
              <w:jc w:val="both"/>
              <w:rPr>
                <w:b/>
              </w:rPr>
            </w:pPr>
            <w:proofErr w:type="spellStart"/>
            <w:r w:rsidRPr="006F1304">
              <w:rPr>
                <w:b/>
              </w:rPr>
              <w:t>cgv</w:t>
            </w:r>
            <w:proofErr w:type="spellEnd"/>
          </w:p>
        </w:tc>
        <w:tc>
          <w:tcPr>
            <w:tcW w:w="7654" w:type="dxa"/>
            <w:shd w:val="clear" w:color="auto" w:fill="auto"/>
            <w:noWrap/>
            <w:vAlign w:val="center"/>
            <w:hideMark/>
          </w:tcPr>
          <w:p w14:paraId="185AA4C1" w14:textId="77777777" w:rsidR="0000770B" w:rsidRPr="006F1304" w:rsidRDefault="0000770B" w:rsidP="008B31A5">
            <w:pPr>
              <w:jc w:val="both"/>
            </w:pPr>
            <w:r w:rsidRPr="006F1304">
              <w:br/>
              <w:t>Government final consumption expenditure, volume, OECD EO 97. Note: for IRL we use Final consumption expenditure of general government from AMECO dataset, in 2012 prices (to deflate we use the correspondent deflator in the dataset: Price deflator total final consumption expenditure of general government).</w:t>
            </w:r>
          </w:p>
        </w:tc>
      </w:tr>
      <w:tr w:rsidR="0000770B" w:rsidRPr="006F1304" w14:paraId="6A99C690" w14:textId="77777777" w:rsidTr="00E35B05">
        <w:trPr>
          <w:trHeight w:val="300"/>
          <w:jc w:val="center"/>
        </w:trPr>
        <w:tc>
          <w:tcPr>
            <w:tcW w:w="2136" w:type="dxa"/>
            <w:shd w:val="clear" w:color="auto" w:fill="auto"/>
            <w:noWrap/>
            <w:vAlign w:val="center"/>
            <w:hideMark/>
          </w:tcPr>
          <w:p w14:paraId="0D2958E2" w14:textId="77777777" w:rsidR="0000770B" w:rsidRPr="006F1304" w:rsidRDefault="0000770B" w:rsidP="008B31A5">
            <w:pPr>
              <w:jc w:val="both"/>
              <w:rPr>
                <w:b/>
              </w:rPr>
            </w:pPr>
            <w:proofErr w:type="spellStart"/>
            <w:r w:rsidRPr="006F1304">
              <w:rPr>
                <w:b/>
              </w:rPr>
              <w:t>igv</w:t>
            </w:r>
            <w:proofErr w:type="spellEnd"/>
          </w:p>
        </w:tc>
        <w:tc>
          <w:tcPr>
            <w:tcW w:w="7654" w:type="dxa"/>
            <w:shd w:val="clear" w:color="auto" w:fill="auto"/>
            <w:noWrap/>
            <w:vAlign w:val="center"/>
            <w:hideMark/>
          </w:tcPr>
          <w:p w14:paraId="06439AE4" w14:textId="77777777" w:rsidR="0000770B" w:rsidRPr="006F1304" w:rsidRDefault="0000770B" w:rsidP="008B31A5">
            <w:pPr>
              <w:jc w:val="both"/>
            </w:pPr>
            <w:r w:rsidRPr="006F1304">
              <w:br/>
              <w:t xml:space="preserve">Government gross fixed capital formation, volume, OECD EO 97. Note: for </w:t>
            </w:r>
            <w:proofErr w:type="gramStart"/>
            <w:r w:rsidRPr="006F1304">
              <w:t>AUT(</w:t>
            </w:r>
            <w:proofErr w:type="gramEnd"/>
            <w:r w:rsidRPr="006F1304">
              <w:t>missing 78-94), IRL, ITA, PRT, ESP, we used data from AMECO (Gross fixed capital formation at current prices: general government, deflated with correspondent deflator series in AMECO dataset-Price deflator gross fixed capital formation: total economy  ). For PRT we deflated the series in 2011 prices and for IRL in 2012 prices.</w:t>
            </w:r>
          </w:p>
        </w:tc>
      </w:tr>
      <w:tr w:rsidR="0000770B" w:rsidRPr="006F1304" w14:paraId="417482C4" w14:textId="77777777" w:rsidTr="00E35B05">
        <w:trPr>
          <w:trHeight w:val="300"/>
          <w:jc w:val="center"/>
        </w:trPr>
        <w:tc>
          <w:tcPr>
            <w:tcW w:w="2136" w:type="dxa"/>
            <w:shd w:val="clear" w:color="auto" w:fill="auto"/>
            <w:noWrap/>
            <w:vAlign w:val="center"/>
            <w:hideMark/>
          </w:tcPr>
          <w:p w14:paraId="286362D2" w14:textId="77777777" w:rsidR="0000770B" w:rsidRPr="006F1304" w:rsidRDefault="0000770B" w:rsidP="008B31A5">
            <w:pPr>
              <w:jc w:val="both"/>
              <w:rPr>
                <w:b/>
              </w:rPr>
            </w:pPr>
            <w:proofErr w:type="spellStart"/>
            <w:r w:rsidRPr="006F1304">
              <w:rPr>
                <w:b/>
              </w:rPr>
              <w:lastRenderedPageBreak/>
              <w:t>ggdeficit</w:t>
            </w:r>
            <w:proofErr w:type="spellEnd"/>
          </w:p>
        </w:tc>
        <w:tc>
          <w:tcPr>
            <w:tcW w:w="7654" w:type="dxa"/>
            <w:shd w:val="clear" w:color="auto" w:fill="auto"/>
            <w:noWrap/>
            <w:vAlign w:val="center"/>
            <w:hideMark/>
          </w:tcPr>
          <w:p w14:paraId="07D2EA55" w14:textId="77777777" w:rsidR="0000770B" w:rsidRPr="006F1304" w:rsidRDefault="0000770B" w:rsidP="008B31A5">
            <w:pPr>
              <w:jc w:val="both"/>
            </w:pPr>
            <w:r w:rsidRPr="006F1304">
              <w:br/>
              <w:t>Government net lending as a percentage of GDP. Source: OECD Economic Outlook n. 97</w:t>
            </w:r>
            <w:r>
              <w:t>.</w:t>
            </w:r>
          </w:p>
        </w:tc>
      </w:tr>
      <w:tr w:rsidR="0000770B" w:rsidRPr="006F1304" w14:paraId="6E142BC8" w14:textId="77777777" w:rsidTr="00E35B05">
        <w:trPr>
          <w:trHeight w:val="300"/>
          <w:jc w:val="center"/>
        </w:trPr>
        <w:tc>
          <w:tcPr>
            <w:tcW w:w="2136" w:type="dxa"/>
            <w:shd w:val="clear" w:color="auto" w:fill="auto"/>
            <w:noWrap/>
            <w:vAlign w:val="center"/>
            <w:hideMark/>
          </w:tcPr>
          <w:p w14:paraId="2DC96269" w14:textId="77777777" w:rsidR="0000770B" w:rsidRPr="006F1304" w:rsidRDefault="0000770B" w:rsidP="008B31A5">
            <w:pPr>
              <w:jc w:val="both"/>
              <w:rPr>
                <w:b/>
              </w:rPr>
            </w:pPr>
            <w:r w:rsidRPr="006F1304">
              <w:rPr>
                <w:b/>
              </w:rPr>
              <w:t>CPI</w:t>
            </w:r>
          </w:p>
        </w:tc>
        <w:tc>
          <w:tcPr>
            <w:tcW w:w="7654" w:type="dxa"/>
            <w:shd w:val="clear" w:color="auto" w:fill="auto"/>
            <w:noWrap/>
            <w:vAlign w:val="center"/>
            <w:hideMark/>
          </w:tcPr>
          <w:p w14:paraId="21D11B61" w14:textId="77777777" w:rsidR="0000770B" w:rsidRPr="006F1304" w:rsidRDefault="0000770B" w:rsidP="008B31A5">
            <w:pPr>
              <w:jc w:val="both"/>
            </w:pPr>
            <w:r w:rsidRPr="006F1304">
              <w:br/>
              <w:t>Consumer price index-all items, IMF International Financial Statistics database</w:t>
            </w:r>
            <w:r>
              <w:t>.</w:t>
            </w:r>
          </w:p>
        </w:tc>
      </w:tr>
      <w:tr w:rsidR="0000770B" w:rsidRPr="006F1304" w14:paraId="652944B3" w14:textId="77777777" w:rsidTr="00E35B05">
        <w:trPr>
          <w:trHeight w:val="300"/>
          <w:jc w:val="center"/>
        </w:trPr>
        <w:tc>
          <w:tcPr>
            <w:tcW w:w="2136" w:type="dxa"/>
            <w:shd w:val="clear" w:color="auto" w:fill="auto"/>
            <w:noWrap/>
            <w:vAlign w:val="center"/>
            <w:hideMark/>
          </w:tcPr>
          <w:p w14:paraId="16E085CE" w14:textId="77777777" w:rsidR="0000770B" w:rsidRPr="006F1304" w:rsidRDefault="0000770B" w:rsidP="008B31A5">
            <w:pPr>
              <w:jc w:val="both"/>
              <w:rPr>
                <w:b/>
              </w:rPr>
            </w:pPr>
            <w:r w:rsidRPr="006F1304">
              <w:rPr>
                <w:b/>
              </w:rPr>
              <w:t>CC</w:t>
            </w:r>
          </w:p>
        </w:tc>
        <w:tc>
          <w:tcPr>
            <w:tcW w:w="7654" w:type="dxa"/>
            <w:shd w:val="clear" w:color="auto" w:fill="auto"/>
            <w:noWrap/>
            <w:vAlign w:val="center"/>
            <w:hideMark/>
          </w:tcPr>
          <w:p w14:paraId="3E79E3E9" w14:textId="77777777" w:rsidR="0000770B" w:rsidRPr="006F1304" w:rsidRDefault="0000770B" w:rsidP="008B31A5">
            <w:pPr>
              <w:jc w:val="both"/>
            </w:pPr>
            <w:r w:rsidRPr="006F1304">
              <w:br/>
              <w:t>Dummy=1 if currency crisis. Source: Reinhart</w:t>
            </w:r>
            <w:r>
              <w:t xml:space="preserve"> </w:t>
            </w:r>
            <w:r w:rsidRPr="006F1304">
              <w:t>&amp;</w:t>
            </w:r>
            <w:r>
              <w:t xml:space="preserve"> </w:t>
            </w:r>
            <w:r w:rsidRPr="006F1304">
              <w:t>Rogoff.</w:t>
            </w:r>
          </w:p>
        </w:tc>
      </w:tr>
      <w:tr w:rsidR="0000770B" w:rsidRPr="006F1304" w14:paraId="7352CDF6" w14:textId="77777777" w:rsidTr="00E35B05">
        <w:trPr>
          <w:trHeight w:val="300"/>
          <w:jc w:val="center"/>
        </w:trPr>
        <w:tc>
          <w:tcPr>
            <w:tcW w:w="2136" w:type="dxa"/>
            <w:shd w:val="clear" w:color="auto" w:fill="auto"/>
            <w:noWrap/>
            <w:vAlign w:val="center"/>
            <w:hideMark/>
          </w:tcPr>
          <w:p w14:paraId="7B3D65CF" w14:textId="77777777" w:rsidR="0000770B" w:rsidRPr="006F1304" w:rsidRDefault="0000770B" w:rsidP="008B31A5">
            <w:pPr>
              <w:jc w:val="both"/>
              <w:rPr>
                <w:b/>
              </w:rPr>
            </w:pPr>
            <w:r w:rsidRPr="006F1304">
              <w:rPr>
                <w:b/>
              </w:rPr>
              <w:t>IC</w:t>
            </w:r>
          </w:p>
        </w:tc>
        <w:tc>
          <w:tcPr>
            <w:tcW w:w="7654" w:type="dxa"/>
            <w:shd w:val="clear" w:color="auto" w:fill="auto"/>
            <w:noWrap/>
            <w:vAlign w:val="center"/>
            <w:hideMark/>
          </w:tcPr>
          <w:p w14:paraId="7D77ADC8" w14:textId="77777777" w:rsidR="0000770B" w:rsidRPr="006F1304" w:rsidRDefault="0000770B" w:rsidP="008B31A5">
            <w:pPr>
              <w:jc w:val="both"/>
            </w:pPr>
            <w:r w:rsidRPr="006F1304">
              <w:br/>
              <w:t>Dummy=1 if inflation crisis. Source: Reinhart</w:t>
            </w:r>
            <w:r>
              <w:t xml:space="preserve"> </w:t>
            </w:r>
            <w:r w:rsidRPr="006F1304">
              <w:t>&amp;</w:t>
            </w:r>
            <w:r>
              <w:t xml:space="preserve"> </w:t>
            </w:r>
            <w:r w:rsidRPr="006F1304">
              <w:t>Rogoff.</w:t>
            </w:r>
          </w:p>
        </w:tc>
      </w:tr>
      <w:tr w:rsidR="0000770B" w:rsidRPr="006F1304" w14:paraId="55DC341D" w14:textId="77777777" w:rsidTr="00E35B05">
        <w:trPr>
          <w:trHeight w:val="300"/>
          <w:jc w:val="center"/>
        </w:trPr>
        <w:tc>
          <w:tcPr>
            <w:tcW w:w="2136" w:type="dxa"/>
            <w:shd w:val="clear" w:color="auto" w:fill="auto"/>
            <w:noWrap/>
            <w:vAlign w:val="center"/>
            <w:hideMark/>
          </w:tcPr>
          <w:p w14:paraId="4AB43D65" w14:textId="77777777" w:rsidR="0000770B" w:rsidRPr="006F1304" w:rsidRDefault="0000770B" w:rsidP="008B31A5">
            <w:pPr>
              <w:jc w:val="both"/>
              <w:rPr>
                <w:b/>
              </w:rPr>
            </w:pPr>
            <w:r w:rsidRPr="006F1304">
              <w:rPr>
                <w:b/>
              </w:rPr>
              <w:t>SMC</w:t>
            </w:r>
          </w:p>
        </w:tc>
        <w:tc>
          <w:tcPr>
            <w:tcW w:w="7654" w:type="dxa"/>
            <w:shd w:val="clear" w:color="auto" w:fill="auto"/>
            <w:noWrap/>
            <w:vAlign w:val="center"/>
            <w:hideMark/>
          </w:tcPr>
          <w:p w14:paraId="7FA41C3C" w14:textId="77777777" w:rsidR="0000770B" w:rsidRPr="006F1304" w:rsidRDefault="0000770B" w:rsidP="008B31A5">
            <w:pPr>
              <w:jc w:val="both"/>
            </w:pPr>
            <w:r w:rsidRPr="006F1304">
              <w:br/>
              <w:t>Dummy=1 if stock market crash. Source: Reinhart</w:t>
            </w:r>
            <w:r>
              <w:t xml:space="preserve"> </w:t>
            </w:r>
            <w:r w:rsidRPr="006F1304">
              <w:t>&amp;</w:t>
            </w:r>
            <w:r>
              <w:t xml:space="preserve"> </w:t>
            </w:r>
            <w:r w:rsidRPr="006F1304">
              <w:t>Rogoff.</w:t>
            </w:r>
          </w:p>
        </w:tc>
      </w:tr>
      <w:tr w:rsidR="0000770B" w:rsidRPr="006F1304" w14:paraId="3C152CE8" w14:textId="77777777" w:rsidTr="00E35B05">
        <w:trPr>
          <w:trHeight w:val="300"/>
          <w:jc w:val="center"/>
        </w:trPr>
        <w:tc>
          <w:tcPr>
            <w:tcW w:w="2136" w:type="dxa"/>
            <w:shd w:val="clear" w:color="auto" w:fill="auto"/>
            <w:noWrap/>
            <w:vAlign w:val="center"/>
            <w:hideMark/>
          </w:tcPr>
          <w:p w14:paraId="7BC8225C" w14:textId="77777777" w:rsidR="0000770B" w:rsidRPr="006F1304" w:rsidRDefault="0000770B" w:rsidP="008B31A5">
            <w:pPr>
              <w:jc w:val="both"/>
              <w:rPr>
                <w:b/>
              </w:rPr>
            </w:pPr>
            <w:r w:rsidRPr="006F1304">
              <w:rPr>
                <w:b/>
              </w:rPr>
              <w:t>BC</w:t>
            </w:r>
          </w:p>
        </w:tc>
        <w:tc>
          <w:tcPr>
            <w:tcW w:w="7654" w:type="dxa"/>
            <w:shd w:val="clear" w:color="auto" w:fill="auto"/>
            <w:noWrap/>
            <w:vAlign w:val="center"/>
            <w:hideMark/>
          </w:tcPr>
          <w:p w14:paraId="47DB1DDB" w14:textId="77777777" w:rsidR="0000770B" w:rsidRPr="006F1304" w:rsidRDefault="0000770B" w:rsidP="008B31A5">
            <w:pPr>
              <w:jc w:val="both"/>
            </w:pPr>
            <w:r w:rsidRPr="006F1304">
              <w:br/>
              <w:t>Dummy=1 if banking crisis. Source: Reinhart</w:t>
            </w:r>
            <w:r>
              <w:t xml:space="preserve"> </w:t>
            </w:r>
            <w:r w:rsidRPr="006F1304">
              <w:t>&amp;</w:t>
            </w:r>
            <w:r>
              <w:t xml:space="preserve"> </w:t>
            </w:r>
            <w:r w:rsidRPr="006F1304">
              <w:t>Rogoff.</w:t>
            </w:r>
          </w:p>
        </w:tc>
      </w:tr>
      <w:tr w:rsidR="0000770B" w:rsidRPr="006F1304" w14:paraId="41C99D51" w14:textId="77777777" w:rsidTr="00E35B05">
        <w:trPr>
          <w:trHeight w:val="300"/>
          <w:jc w:val="center"/>
        </w:trPr>
        <w:tc>
          <w:tcPr>
            <w:tcW w:w="2136" w:type="dxa"/>
            <w:shd w:val="clear" w:color="auto" w:fill="auto"/>
            <w:noWrap/>
            <w:vAlign w:val="center"/>
            <w:hideMark/>
          </w:tcPr>
          <w:p w14:paraId="13688BAA" w14:textId="77777777" w:rsidR="0000770B" w:rsidRPr="006F1304" w:rsidRDefault="0000770B" w:rsidP="008B31A5">
            <w:pPr>
              <w:jc w:val="both"/>
              <w:rPr>
                <w:b/>
              </w:rPr>
            </w:pPr>
            <w:proofErr w:type="spellStart"/>
            <w:r w:rsidRPr="006F1304">
              <w:rPr>
                <w:b/>
              </w:rPr>
              <w:t>rec_index</w:t>
            </w:r>
            <w:proofErr w:type="spellEnd"/>
          </w:p>
        </w:tc>
        <w:tc>
          <w:tcPr>
            <w:tcW w:w="7654" w:type="dxa"/>
            <w:shd w:val="clear" w:color="auto" w:fill="auto"/>
            <w:noWrap/>
            <w:vAlign w:val="center"/>
            <w:hideMark/>
          </w:tcPr>
          <w:p w14:paraId="2CC2A1E5" w14:textId="77777777" w:rsidR="0000770B" w:rsidRPr="006F1304" w:rsidRDefault="0000770B" w:rsidP="008B31A5">
            <w:pPr>
              <w:jc w:val="both"/>
            </w:pPr>
            <w:r w:rsidRPr="006F1304">
              <w:br/>
              <w:t>NBER for US and OECD for others indicators of recession (=1 if recession). Monthly data, aggregated in the following way: if in a year there are more than 6 months in recession then the dummy is 1</w:t>
            </w:r>
            <w:r>
              <w:t>.</w:t>
            </w:r>
          </w:p>
        </w:tc>
      </w:tr>
      <w:tr w:rsidR="0000770B" w:rsidRPr="006F1304" w14:paraId="315AF6E9" w14:textId="77777777" w:rsidTr="00E35B05">
        <w:trPr>
          <w:trHeight w:val="300"/>
          <w:jc w:val="center"/>
        </w:trPr>
        <w:tc>
          <w:tcPr>
            <w:tcW w:w="2136" w:type="dxa"/>
            <w:shd w:val="clear" w:color="auto" w:fill="auto"/>
            <w:noWrap/>
            <w:vAlign w:val="center"/>
            <w:hideMark/>
          </w:tcPr>
          <w:p w14:paraId="6EA4FF12" w14:textId="77777777" w:rsidR="0000770B" w:rsidRPr="006F1304" w:rsidRDefault="0000770B" w:rsidP="008B31A5">
            <w:pPr>
              <w:jc w:val="both"/>
              <w:rPr>
                <w:b/>
              </w:rPr>
            </w:pPr>
            <w:r w:rsidRPr="006F1304">
              <w:rPr>
                <w:b/>
              </w:rPr>
              <w:t>EPL</w:t>
            </w:r>
          </w:p>
        </w:tc>
        <w:tc>
          <w:tcPr>
            <w:tcW w:w="7654" w:type="dxa"/>
            <w:shd w:val="clear" w:color="auto" w:fill="auto"/>
            <w:noWrap/>
            <w:vAlign w:val="center"/>
            <w:hideMark/>
          </w:tcPr>
          <w:p w14:paraId="4ADA3CCA" w14:textId="77777777" w:rsidR="0000770B" w:rsidRPr="006F1304" w:rsidRDefault="0000770B" w:rsidP="008B31A5">
            <w:pPr>
              <w:jc w:val="both"/>
            </w:pPr>
            <w:r w:rsidRPr="006F1304">
              <w:br/>
              <w:t>Employment Protection index, sample 1985-2013 (2014 for GBR). Data are from OECD, downloaded 28/06/2016. Computed as the average between EPR_v1(individual dismissals-regular contracts) and EPT_v1(temporary employment).</w:t>
            </w:r>
          </w:p>
        </w:tc>
      </w:tr>
      <w:tr w:rsidR="0000770B" w:rsidRPr="006F1304" w14:paraId="63343B58" w14:textId="77777777" w:rsidTr="00E35B05">
        <w:trPr>
          <w:trHeight w:val="300"/>
          <w:jc w:val="center"/>
        </w:trPr>
        <w:tc>
          <w:tcPr>
            <w:tcW w:w="2136" w:type="dxa"/>
            <w:shd w:val="clear" w:color="auto" w:fill="auto"/>
            <w:noWrap/>
            <w:vAlign w:val="center"/>
            <w:hideMark/>
          </w:tcPr>
          <w:p w14:paraId="09BF2735" w14:textId="77777777" w:rsidR="0000770B" w:rsidRPr="006F1304" w:rsidRDefault="0000770B" w:rsidP="008B31A5">
            <w:pPr>
              <w:jc w:val="both"/>
              <w:rPr>
                <w:b/>
              </w:rPr>
            </w:pPr>
            <w:r w:rsidRPr="006F1304">
              <w:rPr>
                <w:b/>
              </w:rPr>
              <w:t>PMR</w:t>
            </w:r>
          </w:p>
        </w:tc>
        <w:tc>
          <w:tcPr>
            <w:tcW w:w="7654" w:type="dxa"/>
            <w:shd w:val="clear" w:color="auto" w:fill="auto"/>
            <w:noWrap/>
            <w:vAlign w:val="center"/>
            <w:hideMark/>
          </w:tcPr>
          <w:p w14:paraId="054FD893" w14:textId="77777777" w:rsidR="0000770B" w:rsidRPr="006F1304" w:rsidRDefault="0000770B" w:rsidP="008B31A5">
            <w:pPr>
              <w:jc w:val="both"/>
            </w:pPr>
            <w:r w:rsidRPr="006F1304">
              <w:br/>
              <w:t>Product Market Regulation - Network Sectors, All Sectors, 1975-2013. Data are from OECD, downloaded 28/06/2016.</w:t>
            </w:r>
          </w:p>
        </w:tc>
      </w:tr>
      <w:tr w:rsidR="00F5558F" w:rsidRPr="006F1304" w14:paraId="510B1EEC" w14:textId="77777777" w:rsidTr="00E35B05">
        <w:trPr>
          <w:trHeight w:val="300"/>
          <w:jc w:val="center"/>
        </w:trPr>
        <w:tc>
          <w:tcPr>
            <w:tcW w:w="2136" w:type="dxa"/>
            <w:shd w:val="clear" w:color="auto" w:fill="auto"/>
            <w:noWrap/>
            <w:vAlign w:val="center"/>
            <w:hideMark/>
          </w:tcPr>
          <w:p w14:paraId="37FA2DA7" w14:textId="2EBF897F" w:rsidR="00F5558F" w:rsidRPr="006F1304" w:rsidRDefault="00F5558F" w:rsidP="00F5558F">
            <w:pPr>
              <w:jc w:val="both"/>
              <w:rPr>
                <w:b/>
              </w:rPr>
            </w:pPr>
            <w:proofErr w:type="spellStart"/>
            <w:r>
              <w:rPr>
                <w:b/>
              </w:rPr>
              <w:t>rexr</w:t>
            </w:r>
            <w:proofErr w:type="spellEnd"/>
          </w:p>
        </w:tc>
        <w:tc>
          <w:tcPr>
            <w:tcW w:w="7654" w:type="dxa"/>
            <w:shd w:val="clear" w:color="auto" w:fill="auto"/>
            <w:noWrap/>
            <w:vAlign w:val="center"/>
            <w:hideMark/>
          </w:tcPr>
          <w:p w14:paraId="13B63B3C" w14:textId="45D30AC1" w:rsidR="00F5558F" w:rsidRPr="006F1304" w:rsidRDefault="00F5558F" w:rsidP="00F5558F">
            <w:pPr>
              <w:jc w:val="both"/>
            </w:pPr>
            <w:r w:rsidRPr="006F1304">
              <w:br/>
            </w:r>
            <w:r>
              <w:t>Real effective exchange rate index calculated as the yearly average. Source: Bank of International Settlements. Note that before 1994 we use the narrow index and from 1994 onwards we use the broad index.</w:t>
            </w:r>
          </w:p>
        </w:tc>
      </w:tr>
      <w:tr w:rsidR="00F5558F" w:rsidRPr="006F1304" w14:paraId="072F91A9" w14:textId="77777777" w:rsidTr="00E35B05">
        <w:trPr>
          <w:trHeight w:val="300"/>
          <w:jc w:val="center"/>
        </w:trPr>
        <w:tc>
          <w:tcPr>
            <w:tcW w:w="2136" w:type="dxa"/>
            <w:shd w:val="clear" w:color="auto" w:fill="auto"/>
            <w:noWrap/>
            <w:vAlign w:val="center"/>
            <w:hideMark/>
          </w:tcPr>
          <w:p w14:paraId="43E7F8CC" w14:textId="740FBE91" w:rsidR="00F5558F" w:rsidRPr="006F1304" w:rsidRDefault="00F5558F" w:rsidP="00F5558F">
            <w:pPr>
              <w:jc w:val="both"/>
              <w:rPr>
                <w:b/>
              </w:rPr>
            </w:pPr>
            <w:proofErr w:type="spellStart"/>
            <w:r>
              <w:rPr>
                <w:b/>
              </w:rPr>
              <w:t>debti</w:t>
            </w:r>
            <w:proofErr w:type="spellEnd"/>
          </w:p>
        </w:tc>
        <w:tc>
          <w:tcPr>
            <w:tcW w:w="7654" w:type="dxa"/>
            <w:shd w:val="clear" w:color="auto" w:fill="auto"/>
            <w:noWrap/>
            <w:vAlign w:val="center"/>
            <w:hideMark/>
          </w:tcPr>
          <w:p w14:paraId="354084B3" w14:textId="67D09667" w:rsidR="00F5558F" w:rsidRPr="006F1304" w:rsidRDefault="00F5558F" w:rsidP="00F5558F">
            <w:pPr>
              <w:jc w:val="both"/>
            </w:pPr>
            <w:r w:rsidRPr="006F1304">
              <w:br/>
            </w:r>
            <w:r w:rsidRPr="00F5558F">
              <w:t>General Government Debt/GDP ratio</w:t>
            </w:r>
            <w:r>
              <w:t xml:space="preserve">. Source: </w:t>
            </w:r>
            <w:r w:rsidRPr="00F5558F">
              <w:t>IMF Historical Public Debt Database - A few missing observations are replaced by linear interpolation.</w:t>
            </w:r>
          </w:p>
        </w:tc>
      </w:tr>
      <w:tr w:rsidR="00F5558F" w:rsidRPr="006F1304" w14:paraId="677323D5" w14:textId="77777777" w:rsidTr="00E35B05">
        <w:trPr>
          <w:trHeight w:val="300"/>
          <w:jc w:val="center"/>
        </w:trPr>
        <w:tc>
          <w:tcPr>
            <w:tcW w:w="2136" w:type="dxa"/>
            <w:shd w:val="clear" w:color="auto" w:fill="auto"/>
            <w:noWrap/>
            <w:vAlign w:val="center"/>
            <w:hideMark/>
          </w:tcPr>
          <w:p w14:paraId="642ACC74" w14:textId="40085432" w:rsidR="00F5558F" w:rsidRPr="006F1304" w:rsidRDefault="00F5558F" w:rsidP="00F5558F">
            <w:pPr>
              <w:jc w:val="both"/>
              <w:rPr>
                <w:b/>
              </w:rPr>
            </w:pPr>
            <w:proofErr w:type="spellStart"/>
            <w:r>
              <w:rPr>
                <w:b/>
              </w:rPr>
              <w:t>debta</w:t>
            </w:r>
            <w:proofErr w:type="spellEnd"/>
          </w:p>
        </w:tc>
        <w:tc>
          <w:tcPr>
            <w:tcW w:w="7654" w:type="dxa"/>
            <w:shd w:val="clear" w:color="auto" w:fill="auto"/>
            <w:noWrap/>
            <w:vAlign w:val="center"/>
            <w:hideMark/>
          </w:tcPr>
          <w:p w14:paraId="58F26E02" w14:textId="7117CFB0" w:rsidR="00F5558F" w:rsidRPr="006F1304" w:rsidRDefault="00F5558F" w:rsidP="00F5558F">
            <w:pPr>
              <w:jc w:val="both"/>
            </w:pPr>
            <w:r w:rsidRPr="006F1304">
              <w:br/>
            </w:r>
            <w:r w:rsidR="00554AEE" w:rsidRPr="00554AEE">
              <w:t>Government Debt/GDP ratio AMECO (for Australia OECD)</w:t>
            </w:r>
          </w:p>
        </w:tc>
      </w:tr>
      <w:tr w:rsidR="00F5558F" w:rsidRPr="006F1304" w14:paraId="612B7619" w14:textId="77777777" w:rsidTr="00E35B05">
        <w:trPr>
          <w:trHeight w:val="300"/>
          <w:jc w:val="center"/>
        </w:trPr>
        <w:tc>
          <w:tcPr>
            <w:tcW w:w="2136" w:type="dxa"/>
            <w:shd w:val="clear" w:color="auto" w:fill="auto"/>
            <w:noWrap/>
            <w:vAlign w:val="center"/>
            <w:hideMark/>
          </w:tcPr>
          <w:p w14:paraId="47328BCE" w14:textId="673EF708" w:rsidR="00F5558F" w:rsidRPr="006F1304" w:rsidRDefault="00F5558F" w:rsidP="00F5558F">
            <w:pPr>
              <w:jc w:val="both"/>
              <w:rPr>
                <w:b/>
              </w:rPr>
            </w:pPr>
            <w:proofErr w:type="spellStart"/>
            <w:r>
              <w:rPr>
                <w:b/>
              </w:rPr>
              <w:t>debt_new</w:t>
            </w:r>
            <w:proofErr w:type="spellEnd"/>
          </w:p>
        </w:tc>
        <w:tc>
          <w:tcPr>
            <w:tcW w:w="7654" w:type="dxa"/>
            <w:shd w:val="clear" w:color="auto" w:fill="auto"/>
            <w:noWrap/>
            <w:vAlign w:val="center"/>
            <w:hideMark/>
          </w:tcPr>
          <w:p w14:paraId="792A271D" w14:textId="22056F65" w:rsidR="00F5558F" w:rsidRPr="006F1304" w:rsidRDefault="00F5558F" w:rsidP="00F5558F">
            <w:pPr>
              <w:jc w:val="both"/>
            </w:pPr>
            <w:r w:rsidRPr="006F1304">
              <w:br/>
            </w:r>
            <w:r w:rsidR="00554AEE" w:rsidRPr="00554AEE">
              <w:t>General Government Debt/GDP ratio - IMF Global Debt Database</w:t>
            </w:r>
          </w:p>
        </w:tc>
      </w:tr>
      <w:tr w:rsidR="00F5558F" w:rsidRPr="006F1304" w14:paraId="41BEDB47" w14:textId="77777777" w:rsidTr="00E35B05">
        <w:trPr>
          <w:trHeight w:val="300"/>
          <w:jc w:val="center"/>
        </w:trPr>
        <w:tc>
          <w:tcPr>
            <w:tcW w:w="2136" w:type="dxa"/>
            <w:shd w:val="clear" w:color="auto" w:fill="auto"/>
            <w:noWrap/>
            <w:vAlign w:val="center"/>
            <w:hideMark/>
          </w:tcPr>
          <w:p w14:paraId="5B5E92F1" w14:textId="51551800" w:rsidR="00F5558F" w:rsidRPr="006F1304" w:rsidRDefault="00F5558F" w:rsidP="00F5558F">
            <w:pPr>
              <w:jc w:val="both"/>
              <w:rPr>
                <w:b/>
              </w:rPr>
            </w:pPr>
            <w:proofErr w:type="spellStart"/>
            <w:r w:rsidRPr="00F5558F">
              <w:rPr>
                <w:b/>
              </w:rPr>
              <w:lastRenderedPageBreak/>
              <w:t>sfa_a_value</w:t>
            </w:r>
            <w:proofErr w:type="spellEnd"/>
          </w:p>
        </w:tc>
        <w:tc>
          <w:tcPr>
            <w:tcW w:w="7654" w:type="dxa"/>
            <w:shd w:val="clear" w:color="auto" w:fill="auto"/>
            <w:noWrap/>
            <w:vAlign w:val="center"/>
            <w:hideMark/>
          </w:tcPr>
          <w:p w14:paraId="56381D0A" w14:textId="7C6F3120" w:rsidR="00F5558F" w:rsidRPr="006F1304" w:rsidRDefault="00F5558F" w:rsidP="00F5558F">
            <w:pPr>
              <w:jc w:val="both"/>
            </w:pPr>
            <w:r w:rsidRPr="006F1304">
              <w:br/>
            </w:r>
            <w:r w:rsidR="00554AEE" w:rsidRPr="00554AEE">
              <w:t>Stock-flow adjustment - AMECO</w:t>
            </w:r>
          </w:p>
        </w:tc>
      </w:tr>
      <w:tr w:rsidR="00F5558F" w:rsidRPr="006F1304" w14:paraId="58F31C7F" w14:textId="77777777" w:rsidTr="00E35B05">
        <w:trPr>
          <w:trHeight w:val="300"/>
          <w:jc w:val="center"/>
        </w:trPr>
        <w:tc>
          <w:tcPr>
            <w:tcW w:w="2136" w:type="dxa"/>
            <w:shd w:val="clear" w:color="auto" w:fill="auto"/>
            <w:noWrap/>
            <w:vAlign w:val="center"/>
            <w:hideMark/>
          </w:tcPr>
          <w:p w14:paraId="51EF1A0B" w14:textId="7EA751AE" w:rsidR="00F5558F" w:rsidRPr="006F1304" w:rsidRDefault="00F5558F" w:rsidP="00F5558F">
            <w:pPr>
              <w:jc w:val="both"/>
              <w:rPr>
                <w:b/>
              </w:rPr>
            </w:pPr>
            <w:proofErr w:type="spellStart"/>
            <w:r w:rsidRPr="00F5558F">
              <w:rPr>
                <w:b/>
              </w:rPr>
              <w:t>netint</w:t>
            </w:r>
            <w:proofErr w:type="spellEnd"/>
          </w:p>
        </w:tc>
        <w:tc>
          <w:tcPr>
            <w:tcW w:w="7654" w:type="dxa"/>
            <w:shd w:val="clear" w:color="auto" w:fill="auto"/>
            <w:noWrap/>
            <w:vAlign w:val="center"/>
            <w:hideMark/>
          </w:tcPr>
          <w:p w14:paraId="309105E5" w14:textId="4F849542" w:rsidR="00554AEE" w:rsidRDefault="00554AEE" w:rsidP="00554AEE">
            <w:pPr>
              <w:jc w:val="both"/>
            </w:pPr>
          </w:p>
          <w:p w14:paraId="5CC6FD5F" w14:textId="469BF18A" w:rsidR="00F5558F" w:rsidRPr="006F1304" w:rsidRDefault="00554AEE" w:rsidP="00554AEE">
            <w:pPr>
              <w:jc w:val="both"/>
            </w:pPr>
            <w:r>
              <w:t>Net interest expenses as a percentage of GDP - OECD Economic Outlook</w:t>
            </w:r>
          </w:p>
        </w:tc>
      </w:tr>
      <w:tr w:rsidR="00F5558F" w:rsidRPr="006F1304" w14:paraId="1C8E673D" w14:textId="77777777" w:rsidTr="00E35B05">
        <w:trPr>
          <w:trHeight w:val="300"/>
          <w:jc w:val="center"/>
        </w:trPr>
        <w:tc>
          <w:tcPr>
            <w:tcW w:w="2136" w:type="dxa"/>
            <w:shd w:val="clear" w:color="auto" w:fill="auto"/>
            <w:noWrap/>
            <w:vAlign w:val="center"/>
            <w:hideMark/>
          </w:tcPr>
          <w:p w14:paraId="01991F10" w14:textId="0E845652" w:rsidR="00F5558F" w:rsidRPr="006F1304" w:rsidRDefault="00F5558F" w:rsidP="00F5558F">
            <w:pPr>
              <w:jc w:val="both"/>
              <w:rPr>
                <w:b/>
              </w:rPr>
            </w:pPr>
            <w:r w:rsidRPr="00F5558F">
              <w:rPr>
                <w:b/>
              </w:rPr>
              <w:t>deficit</w:t>
            </w:r>
          </w:p>
        </w:tc>
        <w:tc>
          <w:tcPr>
            <w:tcW w:w="7654" w:type="dxa"/>
            <w:shd w:val="clear" w:color="auto" w:fill="auto"/>
            <w:noWrap/>
            <w:vAlign w:val="center"/>
            <w:hideMark/>
          </w:tcPr>
          <w:p w14:paraId="6A496401" w14:textId="3ACCED8A" w:rsidR="00F5558F" w:rsidRPr="006F1304" w:rsidRDefault="00F5558F" w:rsidP="00F5558F">
            <w:pPr>
              <w:jc w:val="both"/>
            </w:pPr>
            <w:r w:rsidRPr="006F1304">
              <w:br/>
            </w:r>
            <w:r w:rsidR="00554AEE" w:rsidRPr="00554AEE">
              <w:t>General Government net lending as percentage of GDP - OECD Economic Outlook (positive value: deficit; negative value: surplus)</w:t>
            </w:r>
          </w:p>
        </w:tc>
      </w:tr>
      <w:tr w:rsidR="00F5558F" w:rsidRPr="006F1304" w14:paraId="1B665D64" w14:textId="77777777" w:rsidTr="00E35B05">
        <w:trPr>
          <w:trHeight w:val="300"/>
          <w:jc w:val="center"/>
        </w:trPr>
        <w:tc>
          <w:tcPr>
            <w:tcW w:w="2136" w:type="dxa"/>
            <w:shd w:val="clear" w:color="auto" w:fill="auto"/>
            <w:noWrap/>
            <w:vAlign w:val="center"/>
            <w:hideMark/>
          </w:tcPr>
          <w:p w14:paraId="1E1B4B2E" w14:textId="5AA456A8" w:rsidR="00F5558F" w:rsidRPr="006F1304" w:rsidRDefault="00F5558F" w:rsidP="00F5558F">
            <w:pPr>
              <w:jc w:val="both"/>
              <w:rPr>
                <w:b/>
              </w:rPr>
            </w:pPr>
            <w:proofErr w:type="spellStart"/>
            <w:r w:rsidRPr="00F5558F">
              <w:rPr>
                <w:b/>
              </w:rPr>
              <w:t>primary_def</w:t>
            </w:r>
            <w:proofErr w:type="spellEnd"/>
          </w:p>
        </w:tc>
        <w:tc>
          <w:tcPr>
            <w:tcW w:w="7654" w:type="dxa"/>
            <w:shd w:val="clear" w:color="auto" w:fill="auto"/>
            <w:noWrap/>
            <w:vAlign w:val="center"/>
            <w:hideMark/>
          </w:tcPr>
          <w:p w14:paraId="181FEA25" w14:textId="4777665C" w:rsidR="00F5558F" w:rsidRPr="006F1304" w:rsidRDefault="00F5558F" w:rsidP="00554AEE">
            <w:pPr>
              <w:jc w:val="both"/>
            </w:pPr>
            <w:r w:rsidRPr="006F1304">
              <w:br/>
            </w:r>
            <w:r w:rsidR="00554AEE">
              <w:t>Primary deficit (deficit-net interests) - OECD Economic Outlook</w:t>
            </w:r>
          </w:p>
        </w:tc>
      </w:tr>
      <w:tr w:rsidR="00F5558F" w:rsidRPr="006F1304" w14:paraId="2CDC253E" w14:textId="77777777" w:rsidTr="00E35B05">
        <w:trPr>
          <w:trHeight w:val="300"/>
          <w:jc w:val="center"/>
        </w:trPr>
        <w:tc>
          <w:tcPr>
            <w:tcW w:w="2136" w:type="dxa"/>
            <w:shd w:val="clear" w:color="auto" w:fill="auto"/>
            <w:noWrap/>
            <w:vAlign w:val="center"/>
            <w:hideMark/>
          </w:tcPr>
          <w:p w14:paraId="411997E6" w14:textId="7F34E225" w:rsidR="00F5558F" w:rsidRPr="006F1304" w:rsidRDefault="00F5558F" w:rsidP="00F5558F">
            <w:pPr>
              <w:jc w:val="both"/>
              <w:rPr>
                <w:b/>
              </w:rPr>
            </w:pPr>
            <w:r w:rsidRPr="00F5558F">
              <w:rPr>
                <w:b/>
              </w:rPr>
              <w:t>dis</w:t>
            </w:r>
          </w:p>
        </w:tc>
        <w:tc>
          <w:tcPr>
            <w:tcW w:w="7654" w:type="dxa"/>
            <w:shd w:val="clear" w:color="auto" w:fill="auto"/>
            <w:noWrap/>
            <w:vAlign w:val="center"/>
            <w:hideMark/>
          </w:tcPr>
          <w:p w14:paraId="1643196B" w14:textId="35B20BCF" w:rsidR="00554AEE" w:rsidRDefault="00554AEE" w:rsidP="00554AEE">
            <w:pPr>
              <w:jc w:val="both"/>
            </w:pPr>
          </w:p>
          <w:p w14:paraId="0DE532D7" w14:textId="2732E175" w:rsidR="00F5558F" w:rsidRPr="006F1304" w:rsidRDefault="00554AEE" w:rsidP="00554AEE">
            <w:pPr>
              <w:jc w:val="both"/>
            </w:pPr>
            <w:r>
              <w:t>Total government disbursements - OECD Economic Outlook</w:t>
            </w:r>
          </w:p>
        </w:tc>
      </w:tr>
      <w:tr w:rsidR="00F5558F" w:rsidRPr="006F1304" w14:paraId="1E7289E4" w14:textId="77777777" w:rsidTr="00E35B05">
        <w:trPr>
          <w:trHeight w:val="300"/>
          <w:jc w:val="center"/>
        </w:trPr>
        <w:tc>
          <w:tcPr>
            <w:tcW w:w="2136" w:type="dxa"/>
            <w:shd w:val="clear" w:color="auto" w:fill="auto"/>
            <w:noWrap/>
            <w:vAlign w:val="center"/>
            <w:hideMark/>
          </w:tcPr>
          <w:p w14:paraId="148D8BC6" w14:textId="27D6FBF7" w:rsidR="00F5558F" w:rsidRPr="006F1304" w:rsidRDefault="00F5558F" w:rsidP="00F5558F">
            <w:pPr>
              <w:jc w:val="both"/>
              <w:rPr>
                <w:b/>
              </w:rPr>
            </w:pPr>
            <w:r w:rsidRPr="00F5558F">
              <w:rPr>
                <w:b/>
              </w:rPr>
              <w:t>receipts</w:t>
            </w:r>
          </w:p>
        </w:tc>
        <w:tc>
          <w:tcPr>
            <w:tcW w:w="7654" w:type="dxa"/>
            <w:shd w:val="clear" w:color="auto" w:fill="auto"/>
            <w:noWrap/>
            <w:vAlign w:val="center"/>
            <w:hideMark/>
          </w:tcPr>
          <w:p w14:paraId="1537F303" w14:textId="72D2D0EF" w:rsidR="00F5558F" w:rsidRPr="006F1304" w:rsidRDefault="00F5558F" w:rsidP="00F5558F">
            <w:pPr>
              <w:jc w:val="both"/>
            </w:pPr>
            <w:r w:rsidRPr="006F1304">
              <w:br/>
            </w:r>
            <w:r w:rsidR="00E35B05" w:rsidRPr="00E35B05">
              <w:t>Total government receipts - OECD Economic Outlook</w:t>
            </w:r>
          </w:p>
        </w:tc>
      </w:tr>
      <w:tr w:rsidR="00F5558F" w:rsidRPr="006F1304" w14:paraId="4D341414" w14:textId="77777777" w:rsidTr="00E35B05">
        <w:trPr>
          <w:trHeight w:val="300"/>
          <w:jc w:val="center"/>
        </w:trPr>
        <w:tc>
          <w:tcPr>
            <w:tcW w:w="2136" w:type="dxa"/>
            <w:shd w:val="clear" w:color="auto" w:fill="auto"/>
            <w:noWrap/>
            <w:vAlign w:val="center"/>
            <w:hideMark/>
          </w:tcPr>
          <w:p w14:paraId="2B20B477" w14:textId="1A9A1A0C" w:rsidR="00F5558F" w:rsidRPr="006F1304" w:rsidRDefault="00F5558F" w:rsidP="00F5558F">
            <w:pPr>
              <w:jc w:val="both"/>
              <w:rPr>
                <w:b/>
              </w:rPr>
            </w:pPr>
            <w:proofErr w:type="spellStart"/>
            <w:r w:rsidRPr="00F5558F">
              <w:rPr>
                <w:b/>
              </w:rPr>
              <w:t>cap_transf_paid</w:t>
            </w:r>
            <w:proofErr w:type="spellEnd"/>
          </w:p>
        </w:tc>
        <w:tc>
          <w:tcPr>
            <w:tcW w:w="7654" w:type="dxa"/>
            <w:shd w:val="clear" w:color="auto" w:fill="auto"/>
            <w:noWrap/>
            <w:vAlign w:val="center"/>
            <w:hideMark/>
          </w:tcPr>
          <w:p w14:paraId="207A354F" w14:textId="0C1AB424" w:rsidR="00E35B05" w:rsidRDefault="00E35B05" w:rsidP="00E35B05">
            <w:pPr>
              <w:jc w:val="both"/>
            </w:pPr>
          </w:p>
          <w:p w14:paraId="20B7FB65" w14:textId="0B5BDFC9" w:rsidR="00F5558F" w:rsidRPr="006F1304" w:rsidRDefault="00E35B05" w:rsidP="00E35B05">
            <w:pPr>
              <w:jc w:val="both"/>
            </w:pPr>
            <w:r>
              <w:t>Capital transfers paid and other capital payments - OECD Economic Outlook</w:t>
            </w:r>
          </w:p>
        </w:tc>
      </w:tr>
      <w:tr w:rsidR="00F5558F" w:rsidRPr="006F1304" w14:paraId="52FE45CA" w14:textId="77777777" w:rsidTr="00E35B05">
        <w:trPr>
          <w:trHeight w:val="300"/>
          <w:jc w:val="center"/>
        </w:trPr>
        <w:tc>
          <w:tcPr>
            <w:tcW w:w="2136" w:type="dxa"/>
            <w:shd w:val="clear" w:color="auto" w:fill="auto"/>
            <w:noWrap/>
            <w:vAlign w:val="center"/>
            <w:hideMark/>
          </w:tcPr>
          <w:p w14:paraId="61F31A8E" w14:textId="2E6065AB" w:rsidR="00F5558F" w:rsidRPr="006F1304" w:rsidRDefault="00F5558F" w:rsidP="00F5558F">
            <w:pPr>
              <w:jc w:val="both"/>
              <w:rPr>
                <w:b/>
              </w:rPr>
            </w:pPr>
            <w:proofErr w:type="spellStart"/>
            <w:r w:rsidRPr="00F5558F">
              <w:rPr>
                <w:b/>
              </w:rPr>
              <w:t>gov_cons_fixedcap</w:t>
            </w:r>
            <w:proofErr w:type="spellEnd"/>
          </w:p>
        </w:tc>
        <w:tc>
          <w:tcPr>
            <w:tcW w:w="7654" w:type="dxa"/>
            <w:shd w:val="clear" w:color="auto" w:fill="auto"/>
            <w:noWrap/>
            <w:vAlign w:val="center"/>
            <w:hideMark/>
          </w:tcPr>
          <w:p w14:paraId="4C2B09AF" w14:textId="616582BE" w:rsidR="00E35B05" w:rsidRDefault="00E35B05" w:rsidP="00E35B05">
            <w:pPr>
              <w:jc w:val="both"/>
            </w:pPr>
          </w:p>
          <w:p w14:paraId="464EAAE1" w14:textId="2A1F5DA9" w:rsidR="00F5558F" w:rsidRPr="006F1304" w:rsidRDefault="00E35B05" w:rsidP="00E35B05">
            <w:pPr>
              <w:jc w:val="both"/>
            </w:pPr>
            <w:r>
              <w:t>General government consumption of fixed capital - OECD Economic Outlook</w:t>
            </w:r>
          </w:p>
        </w:tc>
      </w:tr>
      <w:tr w:rsidR="00E35B05" w:rsidRPr="006F1304" w14:paraId="40BAEDA9" w14:textId="77777777" w:rsidTr="00E35B05">
        <w:trPr>
          <w:trHeight w:val="300"/>
          <w:jc w:val="center"/>
        </w:trPr>
        <w:tc>
          <w:tcPr>
            <w:tcW w:w="2136" w:type="dxa"/>
            <w:shd w:val="clear" w:color="auto" w:fill="auto"/>
            <w:noWrap/>
            <w:vAlign w:val="center"/>
            <w:hideMark/>
          </w:tcPr>
          <w:p w14:paraId="75CF4406" w14:textId="7F22661F" w:rsidR="00E35B05" w:rsidRPr="006F1304" w:rsidRDefault="00E35B05" w:rsidP="00C54868">
            <w:pPr>
              <w:jc w:val="both"/>
              <w:rPr>
                <w:b/>
              </w:rPr>
            </w:pPr>
            <w:proofErr w:type="spellStart"/>
            <w:r w:rsidRPr="00E35B05">
              <w:rPr>
                <w:b/>
              </w:rPr>
              <w:t>captrans_gdp</w:t>
            </w:r>
            <w:proofErr w:type="spellEnd"/>
          </w:p>
        </w:tc>
        <w:tc>
          <w:tcPr>
            <w:tcW w:w="7654" w:type="dxa"/>
            <w:shd w:val="clear" w:color="auto" w:fill="auto"/>
            <w:noWrap/>
            <w:vAlign w:val="center"/>
            <w:hideMark/>
          </w:tcPr>
          <w:p w14:paraId="2B719DAE" w14:textId="480F839B" w:rsidR="00E35B05" w:rsidRPr="006F1304" w:rsidRDefault="00E35B05" w:rsidP="00C54868">
            <w:pPr>
              <w:jc w:val="both"/>
            </w:pPr>
            <w:r w:rsidRPr="006F1304">
              <w:br/>
            </w:r>
            <w:r w:rsidRPr="00E35B05">
              <w:t>Capital transfers paid and other capital payments as a percentage of GDP - OECD Economic Outlook</w:t>
            </w:r>
          </w:p>
        </w:tc>
      </w:tr>
      <w:tr w:rsidR="00E35B05" w:rsidRPr="006F1304" w14:paraId="21621B25" w14:textId="77777777" w:rsidTr="00E35B05">
        <w:trPr>
          <w:trHeight w:val="300"/>
          <w:jc w:val="center"/>
        </w:trPr>
        <w:tc>
          <w:tcPr>
            <w:tcW w:w="2136" w:type="dxa"/>
            <w:shd w:val="clear" w:color="auto" w:fill="auto"/>
            <w:noWrap/>
            <w:vAlign w:val="center"/>
            <w:hideMark/>
          </w:tcPr>
          <w:p w14:paraId="5E3C30E1" w14:textId="014F6FDA" w:rsidR="00E35B05" w:rsidRPr="006F1304" w:rsidRDefault="00E35B05" w:rsidP="00C54868">
            <w:pPr>
              <w:jc w:val="both"/>
              <w:rPr>
                <w:b/>
              </w:rPr>
            </w:pPr>
            <w:proofErr w:type="spellStart"/>
            <w:r w:rsidRPr="00E35B05">
              <w:rPr>
                <w:b/>
              </w:rPr>
              <w:t>govconscap_gdp</w:t>
            </w:r>
            <w:proofErr w:type="spellEnd"/>
          </w:p>
        </w:tc>
        <w:tc>
          <w:tcPr>
            <w:tcW w:w="7654" w:type="dxa"/>
            <w:shd w:val="clear" w:color="auto" w:fill="auto"/>
            <w:noWrap/>
            <w:vAlign w:val="center"/>
            <w:hideMark/>
          </w:tcPr>
          <w:p w14:paraId="462C0254" w14:textId="0900AC38" w:rsidR="00E35B05" w:rsidRPr="006F1304" w:rsidRDefault="00E35B05" w:rsidP="00C54868">
            <w:pPr>
              <w:jc w:val="both"/>
            </w:pPr>
            <w:r w:rsidRPr="006F1304">
              <w:br/>
            </w:r>
            <w:r w:rsidRPr="00E35B05">
              <w:t>General government consumption of fixed capital as a percentage of GDP - OECD Economic Outlook</w:t>
            </w:r>
          </w:p>
        </w:tc>
      </w:tr>
      <w:tr w:rsidR="00E35B05" w:rsidRPr="006F1304" w14:paraId="3DAC8E37" w14:textId="77777777" w:rsidTr="00E35B05">
        <w:trPr>
          <w:trHeight w:val="300"/>
          <w:jc w:val="center"/>
        </w:trPr>
        <w:tc>
          <w:tcPr>
            <w:tcW w:w="2136" w:type="dxa"/>
            <w:shd w:val="clear" w:color="auto" w:fill="auto"/>
            <w:noWrap/>
            <w:vAlign w:val="center"/>
            <w:hideMark/>
          </w:tcPr>
          <w:p w14:paraId="4BB830FC" w14:textId="77A592B7" w:rsidR="00E35B05" w:rsidRPr="006F1304" w:rsidRDefault="00E35B05" w:rsidP="00C54868">
            <w:pPr>
              <w:jc w:val="both"/>
              <w:rPr>
                <w:b/>
              </w:rPr>
            </w:pPr>
            <w:proofErr w:type="spellStart"/>
            <w:r w:rsidRPr="00E35B05">
              <w:rPr>
                <w:b/>
              </w:rPr>
              <w:t>oecd_exp_resid</w:t>
            </w:r>
            <w:proofErr w:type="spellEnd"/>
          </w:p>
        </w:tc>
        <w:tc>
          <w:tcPr>
            <w:tcW w:w="7654" w:type="dxa"/>
            <w:shd w:val="clear" w:color="auto" w:fill="auto"/>
            <w:noWrap/>
            <w:vAlign w:val="center"/>
            <w:hideMark/>
          </w:tcPr>
          <w:p w14:paraId="743C0584" w14:textId="76B029DB" w:rsidR="00E35B05" w:rsidRPr="006F1304" w:rsidRDefault="00E35B05" w:rsidP="00C54868">
            <w:pPr>
              <w:jc w:val="both"/>
            </w:pPr>
            <w:r w:rsidRPr="006F1304">
              <w:br/>
            </w:r>
            <w:r>
              <w:t>.</w:t>
            </w:r>
          </w:p>
        </w:tc>
      </w:tr>
      <w:tr w:rsidR="00E35B05" w:rsidRPr="006F1304" w14:paraId="0AEC25AC" w14:textId="77777777" w:rsidTr="00E35B05">
        <w:trPr>
          <w:trHeight w:val="300"/>
          <w:jc w:val="center"/>
        </w:trPr>
        <w:tc>
          <w:tcPr>
            <w:tcW w:w="2136" w:type="dxa"/>
            <w:shd w:val="clear" w:color="auto" w:fill="auto"/>
            <w:noWrap/>
            <w:vAlign w:val="center"/>
            <w:hideMark/>
          </w:tcPr>
          <w:p w14:paraId="1FD8B829" w14:textId="3020B6FC" w:rsidR="00E35B05" w:rsidRPr="006F1304" w:rsidRDefault="00E35B05" w:rsidP="00C54868">
            <w:pPr>
              <w:jc w:val="both"/>
              <w:rPr>
                <w:b/>
              </w:rPr>
            </w:pPr>
            <w:proofErr w:type="spellStart"/>
            <w:r w:rsidRPr="00E35B05">
              <w:rPr>
                <w:b/>
              </w:rPr>
              <w:t>currentdisb</w:t>
            </w:r>
            <w:proofErr w:type="spellEnd"/>
          </w:p>
        </w:tc>
        <w:tc>
          <w:tcPr>
            <w:tcW w:w="7654" w:type="dxa"/>
            <w:shd w:val="clear" w:color="auto" w:fill="auto"/>
            <w:noWrap/>
            <w:vAlign w:val="center"/>
            <w:hideMark/>
          </w:tcPr>
          <w:p w14:paraId="581DD11D" w14:textId="367A3FA1" w:rsidR="00E35B05" w:rsidRPr="006F1304" w:rsidRDefault="00E35B05" w:rsidP="00C54868">
            <w:pPr>
              <w:jc w:val="both"/>
            </w:pPr>
            <w:r w:rsidRPr="006F1304">
              <w:br/>
            </w:r>
            <w:r w:rsidRPr="00E35B05">
              <w:t>Current disbursements of general government excluding gross interest payments - OECD Economic Outlook</w:t>
            </w:r>
          </w:p>
        </w:tc>
      </w:tr>
      <w:tr w:rsidR="00E35B05" w:rsidRPr="006F1304" w14:paraId="76772981" w14:textId="77777777" w:rsidTr="00E35B05">
        <w:trPr>
          <w:trHeight w:val="300"/>
          <w:jc w:val="center"/>
        </w:trPr>
        <w:tc>
          <w:tcPr>
            <w:tcW w:w="2136" w:type="dxa"/>
            <w:shd w:val="clear" w:color="auto" w:fill="auto"/>
            <w:noWrap/>
            <w:vAlign w:val="center"/>
            <w:hideMark/>
          </w:tcPr>
          <w:p w14:paraId="206DECB0" w14:textId="0279D5DD" w:rsidR="00E35B05" w:rsidRPr="006F1304" w:rsidRDefault="00E35B05" w:rsidP="00C54868">
            <w:pPr>
              <w:jc w:val="both"/>
              <w:rPr>
                <w:b/>
              </w:rPr>
            </w:pPr>
            <w:proofErr w:type="spellStart"/>
            <w:r w:rsidRPr="00E35B05">
              <w:rPr>
                <w:b/>
              </w:rPr>
              <w:t>currentdisb_gdp</w:t>
            </w:r>
            <w:proofErr w:type="spellEnd"/>
          </w:p>
        </w:tc>
        <w:tc>
          <w:tcPr>
            <w:tcW w:w="7654" w:type="dxa"/>
            <w:shd w:val="clear" w:color="auto" w:fill="auto"/>
            <w:noWrap/>
            <w:vAlign w:val="center"/>
            <w:hideMark/>
          </w:tcPr>
          <w:p w14:paraId="341DCE11" w14:textId="7C7121B2" w:rsidR="00E35B05" w:rsidRPr="006F1304" w:rsidRDefault="00E35B05" w:rsidP="00C54868">
            <w:pPr>
              <w:jc w:val="both"/>
            </w:pPr>
            <w:r w:rsidRPr="006F1304">
              <w:br/>
            </w:r>
            <w:r w:rsidRPr="00E35B05">
              <w:t>Current disbursements of general government excluding gross interest payments as a percentage of GDP - OECD Economic Outlook</w:t>
            </w:r>
          </w:p>
        </w:tc>
      </w:tr>
      <w:tr w:rsidR="00E35B05" w:rsidRPr="006F1304" w14:paraId="46120577" w14:textId="77777777" w:rsidTr="00E35B05">
        <w:trPr>
          <w:trHeight w:val="300"/>
          <w:jc w:val="center"/>
        </w:trPr>
        <w:tc>
          <w:tcPr>
            <w:tcW w:w="2136" w:type="dxa"/>
            <w:shd w:val="clear" w:color="auto" w:fill="auto"/>
            <w:noWrap/>
            <w:vAlign w:val="center"/>
            <w:hideMark/>
          </w:tcPr>
          <w:p w14:paraId="54803711" w14:textId="50AB206A" w:rsidR="00E35B05" w:rsidRPr="006F1304" w:rsidRDefault="00E35B05" w:rsidP="00C54868">
            <w:pPr>
              <w:jc w:val="both"/>
              <w:rPr>
                <w:b/>
              </w:rPr>
            </w:pPr>
            <w:proofErr w:type="spellStart"/>
            <w:r w:rsidRPr="00E35B05">
              <w:rPr>
                <w:b/>
              </w:rPr>
              <w:t>igaa</w:t>
            </w:r>
            <w:proofErr w:type="spellEnd"/>
          </w:p>
        </w:tc>
        <w:tc>
          <w:tcPr>
            <w:tcW w:w="7654" w:type="dxa"/>
            <w:shd w:val="clear" w:color="auto" w:fill="auto"/>
            <w:noWrap/>
            <w:vAlign w:val="center"/>
            <w:hideMark/>
          </w:tcPr>
          <w:p w14:paraId="55CD7518" w14:textId="643DA588" w:rsidR="00E35B05" w:rsidRPr="006F1304" w:rsidRDefault="00E35B05" w:rsidP="00C54868">
            <w:pPr>
              <w:jc w:val="both"/>
            </w:pPr>
            <w:r w:rsidRPr="006F1304">
              <w:br/>
            </w:r>
            <w:r w:rsidRPr="00E35B05">
              <w:t>General government fixed capital formation, appropriation account - OECD Economic Outlook</w:t>
            </w:r>
          </w:p>
        </w:tc>
      </w:tr>
      <w:tr w:rsidR="00E35B05" w:rsidRPr="006F1304" w14:paraId="41EA95DB" w14:textId="77777777" w:rsidTr="00E35B05">
        <w:trPr>
          <w:trHeight w:val="300"/>
          <w:jc w:val="center"/>
        </w:trPr>
        <w:tc>
          <w:tcPr>
            <w:tcW w:w="2136" w:type="dxa"/>
            <w:shd w:val="clear" w:color="auto" w:fill="auto"/>
            <w:noWrap/>
            <w:vAlign w:val="center"/>
            <w:hideMark/>
          </w:tcPr>
          <w:p w14:paraId="3C6887B6" w14:textId="65C26811" w:rsidR="00E35B05" w:rsidRPr="006F1304" w:rsidRDefault="00E35B05" w:rsidP="00C54868">
            <w:pPr>
              <w:jc w:val="both"/>
              <w:rPr>
                <w:b/>
              </w:rPr>
            </w:pPr>
            <w:proofErr w:type="spellStart"/>
            <w:r w:rsidRPr="00E35B05">
              <w:rPr>
                <w:b/>
              </w:rPr>
              <w:lastRenderedPageBreak/>
              <w:t>cgaa</w:t>
            </w:r>
            <w:proofErr w:type="spellEnd"/>
          </w:p>
        </w:tc>
        <w:tc>
          <w:tcPr>
            <w:tcW w:w="7654" w:type="dxa"/>
            <w:shd w:val="clear" w:color="auto" w:fill="auto"/>
            <w:noWrap/>
            <w:vAlign w:val="center"/>
            <w:hideMark/>
          </w:tcPr>
          <w:p w14:paraId="112B3706" w14:textId="1E3F1BE4" w:rsidR="00E35B05" w:rsidRPr="006F1304" w:rsidRDefault="00E35B05" w:rsidP="00C54868">
            <w:pPr>
              <w:jc w:val="both"/>
            </w:pPr>
            <w:r w:rsidRPr="006F1304">
              <w:br/>
            </w:r>
            <w:r w:rsidRPr="00E35B05">
              <w:t>General government final consumption expenditure, appropriation account - OECD Economic Outlook</w:t>
            </w:r>
          </w:p>
        </w:tc>
      </w:tr>
    </w:tbl>
    <w:p w14:paraId="65D584CB" w14:textId="77777777" w:rsidR="00431E6F" w:rsidRDefault="00431E6F" w:rsidP="008B31A5">
      <w:pPr>
        <w:pStyle w:val="Paragrafoelenco"/>
        <w:contextualSpacing w:val="0"/>
        <w:jc w:val="both"/>
      </w:pPr>
    </w:p>
    <w:p w14:paraId="4B545A2E" w14:textId="34A81021" w:rsidR="00431E6F" w:rsidRDefault="00431E6F" w:rsidP="008B31A5">
      <w:pPr>
        <w:jc w:val="both"/>
      </w:pPr>
    </w:p>
    <w:sectPr w:rsidR="00431E6F">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F713F" w14:textId="77777777" w:rsidR="00BA38FE" w:rsidRDefault="00BA38FE" w:rsidP="00485A29">
      <w:pPr>
        <w:spacing w:after="0" w:line="240" w:lineRule="auto"/>
      </w:pPr>
      <w:r>
        <w:separator/>
      </w:r>
    </w:p>
  </w:endnote>
  <w:endnote w:type="continuationSeparator" w:id="0">
    <w:p w14:paraId="29D23FB7" w14:textId="77777777" w:rsidR="00BA38FE" w:rsidRDefault="00BA38FE" w:rsidP="00485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69804" w14:textId="77777777" w:rsidR="00BA38FE" w:rsidRDefault="00BA38FE" w:rsidP="00485A29">
      <w:pPr>
        <w:spacing w:after="0" w:line="240" w:lineRule="auto"/>
      </w:pPr>
      <w:r>
        <w:separator/>
      </w:r>
    </w:p>
  </w:footnote>
  <w:footnote w:type="continuationSeparator" w:id="0">
    <w:p w14:paraId="4CB84F15" w14:textId="77777777" w:rsidR="00BA38FE" w:rsidRDefault="00BA38FE" w:rsidP="00485A29">
      <w:pPr>
        <w:spacing w:after="0" w:line="240" w:lineRule="auto"/>
      </w:pPr>
      <w:r>
        <w:continuationSeparator/>
      </w:r>
    </w:p>
  </w:footnote>
  <w:footnote w:id="1">
    <w:p w14:paraId="0DE8B7C4" w14:textId="77777777" w:rsidR="00C54868" w:rsidRDefault="00C54868" w:rsidP="008E081F">
      <w:pPr>
        <w:pStyle w:val="Testonotaapidipagina"/>
      </w:pPr>
      <w:r>
        <w:rPr>
          <w:rStyle w:val="Rimandonotaapidipagina"/>
        </w:rPr>
        <w:footnoteRef/>
      </w:r>
      <w:r>
        <w:t xml:space="preserve"> The only exception to this rule is made for Portugal for year 2001. Due to currency change and our data choice, the normalized value for the previous year is not available and in our case is approximated by the value of the GDP for the current year.</w:t>
      </w:r>
    </w:p>
  </w:footnote>
  <w:footnote w:id="2">
    <w:p w14:paraId="268F8FD2" w14:textId="77777777" w:rsidR="00C54868" w:rsidRPr="00485A29" w:rsidRDefault="00C54868">
      <w:pPr>
        <w:pStyle w:val="Testonotaapidipagina"/>
      </w:pPr>
      <w:r>
        <w:rPr>
          <w:rStyle w:val="Rimandonotaapidipagina"/>
        </w:rPr>
        <w:footnoteRef/>
      </w:r>
      <w:r>
        <w:t xml:space="preserve"> </w:t>
      </w:r>
      <w:r>
        <w:rPr>
          <w:b/>
        </w:rPr>
        <w:t xml:space="preserve">X1 </w:t>
      </w:r>
      <w:r>
        <w:t>= max (</w:t>
      </w:r>
      <w:r w:rsidRPr="00941649">
        <w:rPr>
          <w:b/>
        </w:rPr>
        <w:t>Indirect Tax</w:t>
      </w:r>
      <w:r>
        <w:rPr>
          <w:b/>
        </w:rPr>
        <w:t xml:space="preserve"> Tot</w:t>
      </w:r>
      <w:r>
        <w:t xml:space="preserve"> + </w:t>
      </w:r>
      <w:proofErr w:type="gramStart"/>
      <w:r>
        <w:t>abs(</w:t>
      </w:r>
      <w:proofErr w:type="gramEnd"/>
      <w:r w:rsidRPr="00941649">
        <w:rPr>
          <w:b/>
        </w:rPr>
        <w:t>NYC Tax</w:t>
      </w:r>
      <w:r>
        <w:rPr>
          <w:b/>
        </w:rPr>
        <w:t xml:space="preserve"> Tot</w:t>
      </w:r>
      <w:r>
        <w:t>)</w:t>
      </w:r>
      <w:r>
        <w:rPr>
          <w:b/>
        </w:rPr>
        <w:t>;</w:t>
      </w:r>
      <w:r>
        <w:t xml:space="preserve"> </w:t>
      </w:r>
      <w:r w:rsidRPr="00941649">
        <w:rPr>
          <w:b/>
        </w:rPr>
        <w:t>Cons-Inv Tot</w:t>
      </w:r>
      <w:r>
        <w:rPr>
          <w:b/>
        </w:rPr>
        <w:t xml:space="preserve">; </w:t>
      </w:r>
      <w:r w:rsidRPr="00941649">
        <w:rPr>
          <w:b/>
        </w:rPr>
        <w:t>Transfers Tot</w:t>
      </w:r>
      <w:r>
        <w:rPr>
          <w:b/>
        </w:rPr>
        <w:t xml:space="preserve">; </w:t>
      </w:r>
      <w:r w:rsidRPr="00941649">
        <w:rPr>
          <w:b/>
        </w:rPr>
        <w:t>Transfers Tot</w:t>
      </w:r>
      <w:r>
        <w:t xml:space="preserve">  + </w:t>
      </w:r>
      <w:r w:rsidRPr="00941649">
        <w:rPr>
          <w:b/>
        </w:rPr>
        <w:t>NYC Spend Tot</w:t>
      </w:r>
      <w:r>
        <w:rPr>
          <w:b/>
        </w:rPr>
        <w:t xml:space="preserve">; </w:t>
      </w:r>
      <w:r w:rsidRPr="00941649">
        <w:rPr>
          <w:b/>
        </w:rPr>
        <w:t>Cons-Inv Tot</w:t>
      </w:r>
      <w:r>
        <w:rPr>
          <w:b/>
        </w:rPr>
        <w:t xml:space="preserve"> </w:t>
      </w:r>
      <w:r>
        <w:t xml:space="preserve">+ </w:t>
      </w:r>
      <w:r w:rsidRPr="00941649">
        <w:rPr>
          <w:b/>
        </w:rPr>
        <w:t>NYC Spend Tot</w:t>
      </w:r>
      <w:r w:rsidRPr="005F2D2D">
        <w:t>).</w:t>
      </w:r>
    </w:p>
  </w:footnote>
  <w:footnote w:id="3">
    <w:p w14:paraId="6C8D3E62" w14:textId="77777777" w:rsidR="00C54868" w:rsidRPr="005F2D2D" w:rsidRDefault="00C54868">
      <w:pPr>
        <w:pStyle w:val="Testonotaapidipagina"/>
        <w:rPr>
          <w:b/>
        </w:rPr>
      </w:pPr>
      <w:r>
        <w:rPr>
          <w:rStyle w:val="Rimandonotaapidipagina"/>
        </w:rPr>
        <w:footnoteRef/>
      </w:r>
      <w:r>
        <w:t xml:space="preserve"> </w:t>
      </w:r>
      <w:r>
        <w:rPr>
          <w:b/>
        </w:rPr>
        <w:t xml:space="preserve">X2 = </w:t>
      </w:r>
      <w:r>
        <w:t>max (</w:t>
      </w:r>
      <w:r>
        <w:rPr>
          <w:b/>
        </w:rPr>
        <w:t>D</w:t>
      </w:r>
      <w:r w:rsidRPr="00941649">
        <w:rPr>
          <w:b/>
        </w:rPr>
        <w:t>irect Tax</w:t>
      </w:r>
      <w:r>
        <w:rPr>
          <w:b/>
        </w:rPr>
        <w:t xml:space="preserve"> Tot</w:t>
      </w:r>
      <w:r>
        <w:t xml:space="preserve"> + </w:t>
      </w:r>
      <w:proofErr w:type="gramStart"/>
      <w:r>
        <w:t>abs(</w:t>
      </w:r>
      <w:proofErr w:type="gramEnd"/>
      <w:r w:rsidRPr="00941649">
        <w:rPr>
          <w:b/>
        </w:rPr>
        <w:t>NYC Tax</w:t>
      </w:r>
      <w:r>
        <w:rPr>
          <w:b/>
        </w:rPr>
        <w:t xml:space="preserve"> Tot</w:t>
      </w:r>
      <w:r>
        <w:t>)</w:t>
      </w:r>
      <w:r>
        <w:rPr>
          <w:b/>
        </w:rPr>
        <w:t>;</w:t>
      </w:r>
      <w:r>
        <w:t xml:space="preserve"> </w:t>
      </w:r>
      <w:r w:rsidRPr="00941649">
        <w:rPr>
          <w:b/>
        </w:rPr>
        <w:t>Cons-Inv Tot</w:t>
      </w:r>
      <w:r>
        <w:rPr>
          <w:b/>
        </w:rPr>
        <w:t xml:space="preserve">; </w:t>
      </w:r>
      <w:r w:rsidRPr="00941649">
        <w:rPr>
          <w:b/>
        </w:rPr>
        <w:t>Transfers Tot</w:t>
      </w:r>
      <w:r>
        <w:rPr>
          <w:b/>
        </w:rPr>
        <w:t xml:space="preserve">; </w:t>
      </w:r>
      <w:r w:rsidRPr="00941649">
        <w:rPr>
          <w:b/>
        </w:rPr>
        <w:t>Transfers Tot</w:t>
      </w:r>
      <w:r>
        <w:t xml:space="preserve">  + </w:t>
      </w:r>
      <w:r w:rsidRPr="00941649">
        <w:rPr>
          <w:b/>
        </w:rPr>
        <w:t>NYC Spend Tot</w:t>
      </w:r>
      <w:r>
        <w:rPr>
          <w:b/>
        </w:rPr>
        <w:t xml:space="preserve">; </w:t>
      </w:r>
      <w:r w:rsidRPr="00941649">
        <w:rPr>
          <w:b/>
        </w:rPr>
        <w:t>Cons-Inv Tot</w:t>
      </w:r>
      <w:r>
        <w:rPr>
          <w:b/>
        </w:rPr>
        <w:t xml:space="preserve"> </w:t>
      </w:r>
      <w:r>
        <w:t xml:space="preserve">+ </w:t>
      </w:r>
      <w:r w:rsidRPr="00941649">
        <w:rPr>
          <w:b/>
        </w:rPr>
        <w:t>NYC Spend Tot</w:t>
      </w:r>
      <w:r w:rsidRPr="005F2D2D">
        <w:t>).</w:t>
      </w:r>
    </w:p>
  </w:footnote>
  <w:footnote w:id="4">
    <w:p w14:paraId="019F204E" w14:textId="77777777" w:rsidR="00C54868" w:rsidRPr="005F2D2D" w:rsidRDefault="00C54868">
      <w:pPr>
        <w:pStyle w:val="Testonotaapidipagina"/>
      </w:pPr>
      <w:r>
        <w:rPr>
          <w:rStyle w:val="Rimandonotaapidipagina"/>
        </w:rPr>
        <w:footnoteRef/>
      </w:r>
      <w:r>
        <w:t xml:space="preserve"> </w:t>
      </w:r>
      <w:r>
        <w:rPr>
          <w:b/>
        </w:rPr>
        <w:t xml:space="preserve">X3 = </w:t>
      </w:r>
      <w:r>
        <w:t>(</w:t>
      </w:r>
      <w:r w:rsidRPr="00941649">
        <w:rPr>
          <w:b/>
        </w:rPr>
        <w:t>Transfers Tot</w:t>
      </w:r>
      <w:r>
        <w:t xml:space="preserve"> + abs(</w:t>
      </w:r>
      <w:r w:rsidRPr="00941649">
        <w:rPr>
          <w:b/>
        </w:rPr>
        <w:t>NYC Spend Tot</w:t>
      </w:r>
      <w:r>
        <w:t>)</w:t>
      </w:r>
      <w:r>
        <w:rPr>
          <w:b/>
        </w:rPr>
        <w:t>;</w:t>
      </w:r>
      <w:r>
        <w:t xml:space="preserve"> </w:t>
      </w:r>
      <w:r w:rsidRPr="00941649">
        <w:rPr>
          <w:b/>
        </w:rPr>
        <w:t>Indirect Tax</w:t>
      </w:r>
      <w:r>
        <w:rPr>
          <w:b/>
        </w:rPr>
        <w:t xml:space="preserve"> Tot; D</w:t>
      </w:r>
      <w:r w:rsidRPr="00941649">
        <w:rPr>
          <w:b/>
        </w:rPr>
        <w:t>irect Tax</w:t>
      </w:r>
      <w:r>
        <w:rPr>
          <w:b/>
        </w:rPr>
        <w:t xml:space="preserve"> Tot; </w:t>
      </w:r>
      <w:r w:rsidRPr="00941649">
        <w:rPr>
          <w:b/>
        </w:rPr>
        <w:t>Indirect Tax</w:t>
      </w:r>
      <w:r>
        <w:rPr>
          <w:b/>
        </w:rPr>
        <w:t xml:space="preserve"> Tot</w:t>
      </w:r>
      <w:r>
        <w:t xml:space="preserve">  + </w:t>
      </w:r>
      <w:r w:rsidRPr="00941649">
        <w:rPr>
          <w:b/>
        </w:rPr>
        <w:t xml:space="preserve">NYC </w:t>
      </w:r>
      <w:r>
        <w:rPr>
          <w:b/>
        </w:rPr>
        <w:t>Tax</w:t>
      </w:r>
      <w:r w:rsidRPr="00941649">
        <w:rPr>
          <w:b/>
        </w:rPr>
        <w:t xml:space="preserve"> Tot</w:t>
      </w:r>
      <w:r>
        <w:rPr>
          <w:b/>
        </w:rPr>
        <w:t>; D</w:t>
      </w:r>
      <w:r w:rsidRPr="00941649">
        <w:rPr>
          <w:b/>
        </w:rPr>
        <w:t>irect Tax</w:t>
      </w:r>
      <w:r>
        <w:rPr>
          <w:b/>
        </w:rPr>
        <w:t xml:space="preserve"> Tot</w:t>
      </w:r>
      <w:r>
        <w:t xml:space="preserve"> + </w:t>
      </w:r>
      <w:r w:rsidRPr="00941649">
        <w:rPr>
          <w:b/>
        </w:rPr>
        <w:t xml:space="preserve">NYC </w:t>
      </w:r>
      <w:r>
        <w:rPr>
          <w:b/>
        </w:rPr>
        <w:t>Tax</w:t>
      </w:r>
      <w:r w:rsidRPr="00941649">
        <w:rPr>
          <w:b/>
        </w:rPr>
        <w:t xml:space="preserve"> Tot</w:t>
      </w:r>
      <w:r w:rsidRPr="005F2D2D">
        <w:t>)</w:t>
      </w:r>
      <w:r>
        <w:t>.</w:t>
      </w:r>
    </w:p>
  </w:footnote>
  <w:footnote w:id="5">
    <w:p w14:paraId="50A6F6A0" w14:textId="77777777" w:rsidR="00C54868" w:rsidRDefault="00C54868">
      <w:pPr>
        <w:pStyle w:val="Testonotaapidipagina"/>
      </w:pPr>
      <w:r>
        <w:rPr>
          <w:rStyle w:val="Rimandonotaapidipagina"/>
        </w:rPr>
        <w:footnoteRef/>
      </w:r>
      <w:r>
        <w:t xml:space="preserve"> </w:t>
      </w:r>
      <w:r>
        <w:rPr>
          <w:b/>
        </w:rPr>
        <w:t xml:space="preserve">X4 = </w:t>
      </w:r>
      <w:r>
        <w:t>(</w:t>
      </w:r>
      <w:r>
        <w:rPr>
          <w:b/>
        </w:rPr>
        <w:t>Cons-Inv</w:t>
      </w:r>
      <w:r w:rsidRPr="00941649">
        <w:rPr>
          <w:b/>
        </w:rPr>
        <w:t xml:space="preserve"> Tot</w:t>
      </w:r>
      <w:r>
        <w:t xml:space="preserve"> + abs(</w:t>
      </w:r>
      <w:r w:rsidRPr="00941649">
        <w:rPr>
          <w:b/>
        </w:rPr>
        <w:t>NYC Spend Tot</w:t>
      </w:r>
      <w:r>
        <w:t>)</w:t>
      </w:r>
      <w:r>
        <w:rPr>
          <w:b/>
        </w:rPr>
        <w:t>;</w:t>
      </w:r>
      <w:r>
        <w:t xml:space="preserve"> </w:t>
      </w:r>
      <w:r w:rsidRPr="00941649">
        <w:rPr>
          <w:b/>
        </w:rPr>
        <w:t>Indirect Tax</w:t>
      </w:r>
      <w:r>
        <w:rPr>
          <w:b/>
        </w:rPr>
        <w:t xml:space="preserve"> Tot; D</w:t>
      </w:r>
      <w:r w:rsidRPr="00941649">
        <w:rPr>
          <w:b/>
        </w:rPr>
        <w:t>irect Tax</w:t>
      </w:r>
      <w:r>
        <w:rPr>
          <w:b/>
        </w:rPr>
        <w:t xml:space="preserve"> Tot; </w:t>
      </w:r>
      <w:r w:rsidRPr="00941649">
        <w:rPr>
          <w:b/>
        </w:rPr>
        <w:t>Indirect Tax</w:t>
      </w:r>
      <w:r>
        <w:rPr>
          <w:b/>
        </w:rPr>
        <w:t xml:space="preserve"> Tot</w:t>
      </w:r>
      <w:r>
        <w:t xml:space="preserve">  + </w:t>
      </w:r>
      <w:r w:rsidRPr="00941649">
        <w:rPr>
          <w:b/>
        </w:rPr>
        <w:t xml:space="preserve">NYC </w:t>
      </w:r>
      <w:r>
        <w:rPr>
          <w:b/>
        </w:rPr>
        <w:t>Tax</w:t>
      </w:r>
      <w:r w:rsidRPr="00941649">
        <w:rPr>
          <w:b/>
        </w:rPr>
        <w:t xml:space="preserve"> Tot</w:t>
      </w:r>
      <w:r>
        <w:rPr>
          <w:b/>
        </w:rPr>
        <w:t>; D</w:t>
      </w:r>
      <w:r w:rsidRPr="00941649">
        <w:rPr>
          <w:b/>
        </w:rPr>
        <w:t>irect Tax</w:t>
      </w:r>
      <w:r>
        <w:rPr>
          <w:b/>
        </w:rPr>
        <w:t xml:space="preserve"> Tot</w:t>
      </w:r>
      <w:r>
        <w:t xml:space="preserve"> + </w:t>
      </w:r>
      <w:r w:rsidRPr="00941649">
        <w:rPr>
          <w:b/>
        </w:rPr>
        <w:t xml:space="preserve">NYC </w:t>
      </w:r>
      <w:r>
        <w:rPr>
          <w:b/>
        </w:rPr>
        <w:t>Tax</w:t>
      </w:r>
      <w:r w:rsidRPr="00941649">
        <w:rPr>
          <w:b/>
        </w:rPr>
        <w:t xml:space="preserve"> Tot</w:t>
      </w:r>
      <w:r w:rsidRPr="005F2D2D">
        <w:t>)</w:t>
      </w:r>
      <w:r>
        <w:t>.</w:t>
      </w:r>
    </w:p>
  </w:footnote>
  <w:footnote w:id="6">
    <w:p w14:paraId="30502B00" w14:textId="77777777" w:rsidR="00C54868" w:rsidRPr="00485A29" w:rsidRDefault="00C54868" w:rsidP="005F2D2D">
      <w:pPr>
        <w:pStyle w:val="Testonotaapidipagina"/>
      </w:pPr>
      <w:r>
        <w:rPr>
          <w:rStyle w:val="Rimandonotaapidipagina"/>
        </w:rPr>
        <w:footnoteRef/>
      </w:r>
      <w:r>
        <w:t xml:space="preserve"> </w:t>
      </w:r>
      <w:r>
        <w:rPr>
          <w:b/>
        </w:rPr>
        <w:t xml:space="preserve">X5 </w:t>
      </w:r>
      <w:r>
        <w:t>= max (</w:t>
      </w:r>
      <w:r>
        <w:rPr>
          <w:b/>
        </w:rPr>
        <w:t>Cons-Inv Tot + NYC Spend Tot + ½ Other Spend Tot; Cons-Inv Tot + ½ Other Spend Tot; Transfers Tot + NYC Spend Tot + ½ Other Spend Tot; Transfers Tot + ½ Other Spend Tot</w:t>
      </w:r>
      <w:r w:rsidRPr="005F2D2D">
        <w:t>).</w:t>
      </w:r>
    </w:p>
  </w:footnote>
  <w:footnote w:id="7">
    <w:p w14:paraId="0E8E59E6" w14:textId="77777777" w:rsidR="00C54868" w:rsidRPr="005E5208" w:rsidRDefault="00C54868">
      <w:pPr>
        <w:pStyle w:val="Testonotaapidipagina"/>
      </w:pPr>
      <w:r>
        <w:rPr>
          <w:rStyle w:val="Rimandonotaapidipagina"/>
        </w:rPr>
        <w:footnoteRef/>
      </w:r>
      <w:r>
        <w:t xml:space="preserve"> </w:t>
      </w:r>
      <w:r w:rsidRPr="005E5208">
        <w:rPr>
          <w:b/>
        </w:rPr>
        <w:t>X6</w:t>
      </w:r>
      <w:r>
        <w:rPr>
          <w:b/>
        </w:rPr>
        <w:t xml:space="preserve"> = </w:t>
      </w:r>
      <w:r>
        <w:t>max (</w:t>
      </w:r>
      <w:r>
        <w:rPr>
          <w:b/>
        </w:rPr>
        <w:t>Tax Tot; Transfers Tot + ½ Other Spend Tot</w:t>
      </w:r>
      <w:r>
        <w:t>).</w:t>
      </w:r>
    </w:p>
  </w:footnote>
  <w:footnote w:id="8">
    <w:p w14:paraId="061B7731" w14:textId="77777777" w:rsidR="00C54868" w:rsidRDefault="00C54868">
      <w:pPr>
        <w:pStyle w:val="Testonotaapidipagina"/>
      </w:pPr>
      <w:r>
        <w:rPr>
          <w:rStyle w:val="Rimandonotaapidipagina"/>
        </w:rPr>
        <w:footnoteRef/>
      </w:r>
      <w:r>
        <w:t xml:space="preserve"> </w:t>
      </w:r>
      <w:r w:rsidRPr="00115C21">
        <w:rPr>
          <w:b/>
        </w:rPr>
        <w:t>X7</w:t>
      </w:r>
      <w:r>
        <w:t xml:space="preserve"> = max (</w:t>
      </w:r>
      <w:r>
        <w:rPr>
          <w:b/>
        </w:rPr>
        <w:t>Tax Tot; Transfers Tot + NYC Spend Tot + ½ Other Spend Tot</w:t>
      </w:r>
      <w:r>
        <w:t>).</w:t>
      </w:r>
    </w:p>
  </w:footnote>
  <w:footnote w:id="9">
    <w:p w14:paraId="66B853D6" w14:textId="77777777" w:rsidR="00C54868" w:rsidRPr="00115C21" w:rsidRDefault="00C54868">
      <w:pPr>
        <w:pStyle w:val="Testonotaapidipagina"/>
      </w:pPr>
      <w:r>
        <w:rPr>
          <w:rStyle w:val="Rimandonotaapidipagina"/>
        </w:rPr>
        <w:footnoteRef/>
      </w:r>
      <w:r>
        <w:t xml:space="preserve"> </w:t>
      </w:r>
      <w:r>
        <w:rPr>
          <w:b/>
        </w:rPr>
        <w:t>X8</w:t>
      </w:r>
      <w:r>
        <w:t xml:space="preserve"> = max (</w:t>
      </w:r>
      <w:r>
        <w:rPr>
          <w:b/>
        </w:rPr>
        <w:t>Tax Tot; Cons-Inv Tot + ½ Other Spend Tot</w:t>
      </w:r>
      <w:r>
        <w:t>).</w:t>
      </w:r>
    </w:p>
  </w:footnote>
  <w:footnote w:id="10">
    <w:p w14:paraId="48752C0E" w14:textId="77777777" w:rsidR="00C54868" w:rsidRPr="00115C21" w:rsidRDefault="00C54868">
      <w:pPr>
        <w:pStyle w:val="Testonotaapidipagina"/>
      </w:pPr>
      <w:r>
        <w:rPr>
          <w:rStyle w:val="Rimandonotaapidipagina"/>
        </w:rPr>
        <w:footnoteRef/>
      </w:r>
      <w:r>
        <w:t xml:space="preserve"> </w:t>
      </w:r>
      <w:r>
        <w:rPr>
          <w:b/>
        </w:rPr>
        <w:t xml:space="preserve">X9 = </w:t>
      </w:r>
      <w:r>
        <w:t>max (</w:t>
      </w:r>
      <w:r>
        <w:rPr>
          <w:b/>
        </w:rPr>
        <w:t>Tax Tot; Cons-Inv Tot + NYC Spend Tot + ½ Other Spend Tot</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F34A8"/>
    <w:multiLevelType w:val="hybridMultilevel"/>
    <w:tmpl w:val="94FE689C"/>
    <w:lvl w:ilvl="0" w:tplc="55C27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00F4A63"/>
    <w:multiLevelType w:val="hybridMultilevel"/>
    <w:tmpl w:val="FE12C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it-IT"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EB7"/>
    <w:rsid w:val="0000770B"/>
    <w:rsid w:val="000430B1"/>
    <w:rsid w:val="00115C21"/>
    <w:rsid w:val="00131CAC"/>
    <w:rsid w:val="00172D2F"/>
    <w:rsid w:val="00192EEF"/>
    <w:rsid w:val="001B02F7"/>
    <w:rsid w:val="001B7B35"/>
    <w:rsid w:val="001D7664"/>
    <w:rsid w:val="002072D9"/>
    <w:rsid w:val="00230C2D"/>
    <w:rsid w:val="0023236D"/>
    <w:rsid w:val="002851D9"/>
    <w:rsid w:val="00294376"/>
    <w:rsid w:val="002A53E1"/>
    <w:rsid w:val="002D6FB9"/>
    <w:rsid w:val="002F246D"/>
    <w:rsid w:val="00300618"/>
    <w:rsid w:val="003020C4"/>
    <w:rsid w:val="0037735A"/>
    <w:rsid w:val="00431E6F"/>
    <w:rsid w:val="0045313D"/>
    <w:rsid w:val="00485A29"/>
    <w:rsid w:val="00496DCA"/>
    <w:rsid w:val="004B0DA7"/>
    <w:rsid w:val="004B415E"/>
    <w:rsid w:val="004D0643"/>
    <w:rsid w:val="004D4B31"/>
    <w:rsid w:val="004E0B25"/>
    <w:rsid w:val="004E5013"/>
    <w:rsid w:val="00516B5A"/>
    <w:rsid w:val="005446A7"/>
    <w:rsid w:val="00554AEE"/>
    <w:rsid w:val="005A0ABF"/>
    <w:rsid w:val="005A3686"/>
    <w:rsid w:val="005C50A8"/>
    <w:rsid w:val="005E5208"/>
    <w:rsid w:val="005E7B9F"/>
    <w:rsid w:val="005E7E62"/>
    <w:rsid w:val="005F2D2D"/>
    <w:rsid w:val="006359BB"/>
    <w:rsid w:val="00657383"/>
    <w:rsid w:val="00674375"/>
    <w:rsid w:val="006A4810"/>
    <w:rsid w:val="00705787"/>
    <w:rsid w:val="00705F04"/>
    <w:rsid w:val="00741DEE"/>
    <w:rsid w:val="0075201F"/>
    <w:rsid w:val="007E2378"/>
    <w:rsid w:val="007F1B72"/>
    <w:rsid w:val="0080625E"/>
    <w:rsid w:val="008B31A5"/>
    <w:rsid w:val="008E081F"/>
    <w:rsid w:val="008F1CE8"/>
    <w:rsid w:val="009155DF"/>
    <w:rsid w:val="00933735"/>
    <w:rsid w:val="00941649"/>
    <w:rsid w:val="0098701B"/>
    <w:rsid w:val="009901F2"/>
    <w:rsid w:val="009B4048"/>
    <w:rsid w:val="00A6088F"/>
    <w:rsid w:val="00A80549"/>
    <w:rsid w:val="00A86102"/>
    <w:rsid w:val="00AC07FA"/>
    <w:rsid w:val="00AC39D0"/>
    <w:rsid w:val="00AF5203"/>
    <w:rsid w:val="00B034B3"/>
    <w:rsid w:val="00B2704A"/>
    <w:rsid w:val="00B31FE3"/>
    <w:rsid w:val="00B80EB7"/>
    <w:rsid w:val="00B84105"/>
    <w:rsid w:val="00B847CB"/>
    <w:rsid w:val="00B93745"/>
    <w:rsid w:val="00BA38FE"/>
    <w:rsid w:val="00BD3B38"/>
    <w:rsid w:val="00C54868"/>
    <w:rsid w:val="00C73511"/>
    <w:rsid w:val="00C86045"/>
    <w:rsid w:val="00CA3D9D"/>
    <w:rsid w:val="00D038F7"/>
    <w:rsid w:val="00D734CD"/>
    <w:rsid w:val="00D80B8B"/>
    <w:rsid w:val="00D823E9"/>
    <w:rsid w:val="00D9374F"/>
    <w:rsid w:val="00D95D8A"/>
    <w:rsid w:val="00DA2EA4"/>
    <w:rsid w:val="00DD1B50"/>
    <w:rsid w:val="00DE168A"/>
    <w:rsid w:val="00E119BD"/>
    <w:rsid w:val="00E35B05"/>
    <w:rsid w:val="00E85832"/>
    <w:rsid w:val="00E96F2A"/>
    <w:rsid w:val="00ED06F8"/>
    <w:rsid w:val="00EE1BDA"/>
    <w:rsid w:val="00EE3706"/>
    <w:rsid w:val="00F002B3"/>
    <w:rsid w:val="00F3359B"/>
    <w:rsid w:val="00F33839"/>
    <w:rsid w:val="00F5558F"/>
    <w:rsid w:val="00F84CA5"/>
    <w:rsid w:val="00F9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B541"/>
  <w15:chartTrackingRefBased/>
  <w15:docId w15:val="{21CD55BF-6646-48FD-9C9D-64946AB2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31FE3"/>
    <w:rPr>
      <w:rFonts w:ascii="Times New Roman" w:hAnsi="Times New Roman"/>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B31FE3"/>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B31FE3"/>
    <w:rPr>
      <w:rFonts w:eastAsiaTheme="minorEastAsia"/>
      <w:color w:val="5A5A5A" w:themeColor="text1" w:themeTint="A5"/>
      <w:spacing w:val="15"/>
    </w:rPr>
  </w:style>
  <w:style w:type="paragraph" w:styleId="Titolo">
    <w:name w:val="Title"/>
    <w:basedOn w:val="Normale"/>
    <w:next w:val="Normale"/>
    <w:link w:val="TitoloCarattere"/>
    <w:uiPriority w:val="10"/>
    <w:qFormat/>
    <w:rsid w:val="00B31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1FE3"/>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B31FE3"/>
    <w:pPr>
      <w:ind w:left="720"/>
      <w:contextualSpacing/>
    </w:pPr>
  </w:style>
  <w:style w:type="paragraph" w:styleId="Testonotaapidipagina">
    <w:name w:val="footnote text"/>
    <w:basedOn w:val="Normale"/>
    <w:link w:val="TestonotaapidipaginaCarattere"/>
    <w:uiPriority w:val="99"/>
    <w:semiHidden/>
    <w:unhideWhenUsed/>
    <w:rsid w:val="00485A2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85A29"/>
    <w:rPr>
      <w:rFonts w:ascii="Times New Roman" w:hAnsi="Times New Roman"/>
      <w:sz w:val="20"/>
      <w:szCs w:val="20"/>
    </w:rPr>
  </w:style>
  <w:style w:type="character" w:styleId="Rimandonotaapidipagina">
    <w:name w:val="footnote reference"/>
    <w:basedOn w:val="Carpredefinitoparagrafo"/>
    <w:uiPriority w:val="99"/>
    <w:semiHidden/>
    <w:unhideWhenUsed/>
    <w:rsid w:val="00485A29"/>
    <w:rPr>
      <w:vertAlign w:val="superscript"/>
    </w:rPr>
  </w:style>
  <w:style w:type="table" w:styleId="Grigliatabella">
    <w:name w:val="Table Grid"/>
    <w:basedOn w:val="Tabellanormale"/>
    <w:uiPriority w:val="39"/>
    <w:rsid w:val="00B93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31CAC"/>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131CAC"/>
    <w:rPr>
      <w:rFonts w:ascii="Times New Roman" w:hAnsi="Times New Roman"/>
      <w:sz w:val="24"/>
    </w:rPr>
  </w:style>
  <w:style w:type="paragraph" w:styleId="Pidipagina">
    <w:name w:val="footer"/>
    <w:basedOn w:val="Normale"/>
    <w:link w:val="PidipaginaCarattere"/>
    <w:uiPriority w:val="99"/>
    <w:unhideWhenUsed/>
    <w:rsid w:val="00131CAC"/>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131CAC"/>
    <w:rPr>
      <w:rFonts w:ascii="Times New Roman" w:hAnsi="Times New Roman"/>
      <w:sz w:val="24"/>
    </w:rPr>
  </w:style>
  <w:style w:type="character" w:styleId="Rimandocommento">
    <w:name w:val="annotation reference"/>
    <w:basedOn w:val="Carpredefinitoparagrafo"/>
    <w:uiPriority w:val="99"/>
    <w:semiHidden/>
    <w:unhideWhenUsed/>
    <w:rsid w:val="00DA2EA4"/>
    <w:rPr>
      <w:sz w:val="16"/>
      <w:szCs w:val="16"/>
    </w:rPr>
  </w:style>
  <w:style w:type="paragraph" w:styleId="Testocommento">
    <w:name w:val="annotation text"/>
    <w:basedOn w:val="Normale"/>
    <w:link w:val="TestocommentoCarattere"/>
    <w:uiPriority w:val="99"/>
    <w:semiHidden/>
    <w:unhideWhenUsed/>
    <w:rsid w:val="00DA2EA4"/>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A2EA4"/>
    <w:rPr>
      <w:rFonts w:ascii="Times New Roman" w:hAnsi="Times New Roman"/>
      <w:sz w:val="20"/>
      <w:szCs w:val="20"/>
    </w:rPr>
  </w:style>
  <w:style w:type="paragraph" w:styleId="Soggettocommento">
    <w:name w:val="annotation subject"/>
    <w:basedOn w:val="Testocommento"/>
    <w:next w:val="Testocommento"/>
    <w:link w:val="SoggettocommentoCarattere"/>
    <w:uiPriority w:val="99"/>
    <w:semiHidden/>
    <w:unhideWhenUsed/>
    <w:rsid w:val="00DA2EA4"/>
    <w:rPr>
      <w:b/>
      <w:bCs/>
    </w:rPr>
  </w:style>
  <w:style w:type="character" w:customStyle="1" w:styleId="SoggettocommentoCarattere">
    <w:name w:val="Soggetto commento Carattere"/>
    <w:basedOn w:val="TestocommentoCarattere"/>
    <w:link w:val="Soggettocommento"/>
    <w:uiPriority w:val="99"/>
    <w:semiHidden/>
    <w:rsid w:val="00DA2EA4"/>
    <w:rPr>
      <w:rFonts w:ascii="Times New Roman" w:hAnsi="Times New Roman"/>
      <w:b/>
      <w:bCs/>
      <w:sz w:val="20"/>
      <w:szCs w:val="20"/>
    </w:rPr>
  </w:style>
  <w:style w:type="paragraph" w:styleId="Testofumetto">
    <w:name w:val="Balloon Text"/>
    <w:basedOn w:val="Normale"/>
    <w:link w:val="TestofumettoCarattere"/>
    <w:uiPriority w:val="99"/>
    <w:semiHidden/>
    <w:unhideWhenUsed/>
    <w:rsid w:val="00DA2EA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A2E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11734">
      <w:bodyDiv w:val="1"/>
      <w:marLeft w:val="0"/>
      <w:marRight w:val="0"/>
      <w:marTop w:val="0"/>
      <w:marBottom w:val="0"/>
      <w:divBdr>
        <w:top w:val="none" w:sz="0" w:space="0" w:color="auto"/>
        <w:left w:val="none" w:sz="0" w:space="0" w:color="auto"/>
        <w:bottom w:val="none" w:sz="0" w:space="0" w:color="auto"/>
        <w:right w:val="none" w:sz="0" w:space="0" w:color="auto"/>
      </w:divBdr>
    </w:div>
    <w:div w:id="164326696">
      <w:bodyDiv w:val="1"/>
      <w:marLeft w:val="0"/>
      <w:marRight w:val="0"/>
      <w:marTop w:val="0"/>
      <w:marBottom w:val="0"/>
      <w:divBdr>
        <w:top w:val="none" w:sz="0" w:space="0" w:color="auto"/>
        <w:left w:val="none" w:sz="0" w:space="0" w:color="auto"/>
        <w:bottom w:val="none" w:sz="0" w:space="0" w:color="auto"/>
        <w:right w:val="none" w:sz="0" w:space="0" w:color="auto"/>
      </w:divBdr>
    </w:div>
    <w:div w:id="740640726">
      <w:bodyDiv w:val="1"/>
      <w:marLeft w:val="0"/>
      <w:marRight w:val="0"/>
      <w:marTop w:val="0"/>
      <w:marBottom w:val="0"/>
      <w:divBdr>
        <w:top w:val="none" w:sz="0" w:space="0" w:color="auto"/>
        <w:left w:val="none" w:sz="0" w:space="0" w:color="auto"/>
        <w:bottom w:val="none" w:sz="0" w:space="0" w:color="auto"/>
        <w:right w:val="none" w:sz="0" w:space="0" w:color="auto"/>
      </w:divBdr>
    </w:div>
    <w:div w:id="748428095">
      <w:bodyDiv w:val="1"/>
      <w:marLeft w:val="0"/>
      <w:marRight w:val="0"/>
      <w:marTop w:val="0"/>
      <w:marBottom w:val="0"/>
      <w:divBdr>
        <w:top w:val="none" w:sz="0" w:space="0" w:color="auto"/>
        <w:left w:val="none" w:sz="0" w:space="0" w:color="auto"/>
        <w:bottom w:val="none" w:sz="0" w:space="0" w:color="auto"/>
        <w:right w:val="none" w:sz="0" w:space="0" w:color="auto"/>
      </w:divBdr>
    </w:div>
    <w:div w:id="1053777550">
      <w:bodyDiv w:val="1"/>
      <w:marLeft w:val="0"/>
      <w:marRight w:val="0"/>
      <w:marTop w:val="0"/>
      <w:marBottom w:val="0"/>
      <w:divBdr>
        <w:top w:val="none" w:sz="0" w:space="0" w:color="auto"/>
        <w:left w:val="none" w:sz="0" w:space="0" w:color="auto"/>
        <w:bottom w:val="none" w:sz="0" w:space="0" w:color="auto"/>
        <w:right w:val="none" w:sz="0" w:space="0" w:color="auto"/>
      </w:divBdr>
    </w:div>
    <w:div w:id="1213154714">
      <w:bodyDiv w:val="1"/>
      <w:marLeft w:val="0"/>
      <w:marRight w:val="0"/>
      <w:marTop w:val="0"/>
      <w:marBottom w:val="0"/>
      <w:divBdr>
        <w:top w:val="none" w:sz="0" w:space="0" w:color="auto"/>
        <w:left w:val="none" w:sz="0" w:space="0" w:color="auto"/>
        <w:bottom w:val="none" w:sz="0" w:space="0" w:color="auto"/>
        <w:right w:val="none" w:sz="0" w:space="0" w:color="auto"/>
      </w:divBdr>
    </w:div>
    <w:div w:id="1247036073">
      <w:bodyDiv w:val="1"/>
      <w:marLeft w:val="0"/>
      <w:marRight w:val="0"/>
      <w:marTop w:val="0"/>
      <w:marBottom w:val="0"/>
      <w:divBdr>
        <w:top w:val="none" w:sz="0" w:space="0" w:color="auto"/>
        <w:left w:val="none" w:sz="0" w:space="0" w:color="auto"/>
        <w:bottom w:val="none" w:sz="0" w:space="0" w:color="auto"/>
        <w:right w:val="none" w:sz="0" w:space="0" w:color="auto"/>
      </w:divBdr>
    </w:div>
    <w:div w:id="1398362097">
      <w:bodyDiv w:val="1"/>
      <w:marLeft w:val="0"/>
      <w:marRight w:val="0"/>
      <w:marTop w:val="0"/>
      <w:marBottom w:val="0"/>
      <w:divBdr>
        <w:top w:val="none" w:sz="0" w:space="0" w:color="auto"/>
        <w:left w:val="none" w:sz="0" w:space="0" w:color="auto"/>
        <w:bottom w:val="none" w:sz="0" w:space="0" w:color="auto"/>
        <w:right w:val="none" w:sz="0" w:space="0" w:color="auto"/>
      </w:divBdr>
    </w:div>
    <w:div w:id="1512376103">
      <w:bodyDiv w:val="1"/>
      <w:marLeft w:val="0"/>
      <w:marRight w:val="0"/>
      <w:marTop w:val="0"/>
      <w:marBottom w:val="0"/>
      <w:divBdr>
        <w:top w:val="none" w:sz="0" w:space="0" w:color="auto"/>
        <w:left w:val="none" w:sz="0" w:space="0" w:color="auto"/>
        <w:bottom w:val="none" w:sz="0" w:space="0" w:color="auto"/>
        <w:right w:val="none" w:sz="0" w:space="0" w:color="auto"/>
      </w:divBdr>
    </w:div>
    <w:div w:id="1790855628">
      <w:bodyDiv w:val="1"/>
      <w:marLeft w:val="0"/>
      <w:marRight w:val="0"/>
      <w:marTop w:val="0"/>
      <w:marBottom w:val="0"/>
      <w:divBdr>
        <w:top w:val="none" w:sz="0" w:space="0" w:color="auto"/>
        <w:left w:val="none" w:sz="0" w:space="0" w:color="auto"/>
        <w:bottom w:val="none" w:sz="0" w:space="0" w:color="auto"/>
        <w:right w:val="none" w:sz="0" w:space="0" w:color="auto"/>
      </w:divBdr>
    </w:div>
    <w:div w:id="1815289688">
      <w:bodyDiv w:val="1"/>
      <w:marLeft w:val="0"/>
      <w:marRight w:val="0"/>
      <w:marTop w:val="0"/>
      <w:marBottom w:val="0"/>
      <w:divBdr>
        <w:top w:val="none" w:sz="0" w:space="0" w:color="auto"/>
        <w:left w:val="none" w:sz="0" w:space="0" w:color="auto"/>
        <w:bottom w:val="none" w:sz="0" w:space="0" w:color="auto"/>
        <w:right w:val="none" w:sz="0" w:space="0" w:color="auto"/>
      </w:divBdr>
    </w:div>
    <w:div w:id="201734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5A87E-1ABE-45A0-9E6C-D8D6A9883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3236</Words>
  <Characters>18451</Characters>
  <Application>Microsoft Office Word</Application>
  <DocSecurity>0</DocSecurity>
  <Lines>153</Lines>
  <Paragraphs>43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Universita' Luigi Bocconi</Company>
  <LinksUpToDate>false</LinksUpToDate>
  <CharactersWithSpaces>21644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Federico Mainardi</cp:lastModifiedBy>
  <cp:revision>10</cp:revision>
  <dcterms:created xsi:type="dcterms:W3CDTF">2018-12-18T11:22:00Z</dcterms:created>
  <dcterms:modified xsi:type="dcterms:W3CDTF">2019-01-03T22:44:00Z</dcterms:modified>
</cp:coreProperties>
</file>