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Fonts w:ascii="Lobster" w:cs="Lobster" w:eastAsia="Lobster" w:hAnsi="Lobster"/>
          <w:sz w:val="90"/>
          <w:szCs w:val="90"/>
          <w:rtl w:val="0"/>
        </w:rPr>
        <w:t xml:space="preserve">Avaliação #03 de</w:t>
      </w:r>
    </w:p>
    <w:p w:rsidR="00000000" w:rsidDel="00000000" w:rsidP="00000000" w:rsidRDefault="00000000" w:rsidRPr="00000000" w14:paraId="00000005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Fonts w:ascii="Lobster" w:cs="Lobster" w:eastAsia="Lobster" w:hAnsi="Lobster"/>
          <w:sz w:val="90"/>
          <w:szCs w:val="90"/>
          <w:rtl w:val="0"/>
        </w:rPr>
        <w:t xml:space="preserve">Banco de Dados</w:t>
      </w:r>
    </w:p>
    <w:p w:rsidR="00000000" w:rsidDel="00000000" w:rsidP="00000000" w:rsidRDefault="00000000" w:rsidRPr="00000000" w14:paraId="00000006">
      <w:pPr>
        <w:jc w:val="center"/>
        <w:rPr>
          <w:rFonts w:ascii="Lobster" w:cs="Lobster" w:eastAsia="Lobster" w:hAnsi="Lobster"/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Equipe: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Antônio Silvestre Pereira Neto e Nícolas Aguiar Ribeiro de Carvalho</w:t>
      </w:r>
    </w:p>
    <w:p w:rsidR="00000000" w:rsidDel="00000000" w:rsidP="00000000" w:rsidRDefault="00000000" w:rsidRPr="00000000" w14:paraId="00000008">
      <w:pPr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Turma: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P4  de Informática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1° Questão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2108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2° Questão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212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3° Questão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207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4° Questão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</w:rPr>
        <w:drawing>
          <wp:inline distB="114300" distT="114300" distL="114300" distR="114300">
            <wp:extent cx="5731200" cy="1244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</w:rPr>
        <w:drawing>
          <wp:inline distB="114300" distT="114300" distL="114300" distR="114300">
            <wp:extent cx="5731200" cy="3086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5° Questão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 (Para a próxima avaliação)</w:t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6° Questão: </w:t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  <w:font w:name="Poppi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Poppins-regular.ttf"/><Relationship Id="rId3" Type="http://schemas.openxmlformats.org/officeDocument/2006/relationships/font" Target="fonts/Poppins-bold.ttf"/><Relationship Id="rId4" Type="http://schemas.openxmlformats.org/officeDocument/2006/relationships/font" Target="fonts/Poppins-italic.ttf"/><Relationship Id="rId5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